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1C5" w:rsidRDefault="000421C5" w:rsidP="00635ABB">
      <w:pPr>
        <w:autoSpaceDE w:val="0"/>
        <w:autoSpaceDN w:val="0"/>
        <w:adjustRightInd w:val="0"/>
        <w:spacing w:line="276" w:lineRule="auto"/>
        <w:rPr>
          <w:b/>
          <w:bCs/>
          <w:color w:val="000000" w:themeColor="text1"/>
        </w:rPr>
      </w:pPr>
    </w:p>
    <w:p w:rsidR="000421C5" w:rsidRPr="00635ABB" w:rsidRDefault="000421C5" w:rsidP="00635ABB">
      <w:pPr>
        <w:autoSpaceDE w:val="0"/>
        <w:autoSpaceDN w:val="0"/>
        <w:adjustRightInd w:val="0"/>
        <w:spacing w:line="276" w:lineRule="auto"/>
        <w:rPr>
          <w:b/>
          <w:bCs/>
          <w:color w:val="000000" w:themeColor="text1"/>
        </w:rPr>
      </w:pPr>
    </w:p>
    <w:p w:rsidR="003E55FB" w:rsidRPr="00635ABB" w:rsidRDefault="000421C5" w:rsidP="000421C5">
      <w:pPr>
        <w:autoSpaceDE w:val="0"/>
        <w:autoSpaceDN w:val="0"/>
        <w:adjustRightInd w:val="0"/>
        <w:spacing w:line="276" w:lineRule="auto"/>
        <w:ind w:left="2880"/>
        <w:rPr>
          <w:b/>
          <w:bCs/>
          <w:color w:val="000000" w:themeColor="text1"/>
        </w:rPr>
      </w:pPr>
      <w:r>
        <w:rPr>
          <w:rFonts w:ascii="Arial" w:hAnsi="Arial" w:cs="Arial"/>
          <w:noProof/>
          <w:color w:val="1020D0"/>
          <w:sz w:val="20"/>
          <w:szCs w:val="20"/>
        </w:rPr>
        <w:drawing>
          <wp:inline distT="0" distB="0" distL="0" distR="0" wp14:anchorId="193E29E0" wp14:editId="00D92B47">
            <wp:extent cx="1971675" cy="1971675"/>
            <wp:effectExtent l="0" t="0" r="9525" b="9525"/>
            <wp:docPr id="2" name="Picture 2" descr="http://ts1.mm.bing.net/th?id=HN.608017376272056708&amp;w=207&amp;h=207&amp;c=8&amp;pid=3.1&amp;qlt=90&amp;rm=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1" descr="http://ts1.mm.bing.net/th?id=HN.608017376272056708&amp;w=207&amp;h=207&amp;c=8&amp;pid=3.1&amp;qlt=90&amp;rm=2">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1675" cy="1971675"/>
                    </a:xfrm>
                    <a:prstGeom prst="rect">
                      <a:avLst/>
                    </a:prstGeom>
                    <a:noFill/>
                    <a:ln>
                      <a:noFill/>
                    </a:ln>
                  </pic:spPr>
                </pic:pic>
              </a:graphicData>
            </a:graphic>
          </wp:inline>
        </w:drawing>
      </w:r>
    </w:p>
    <w:p w:rsidR="003E55FB" w:rsidRPr="00635ABB" w:rsidRDefault="003E55FB" w:rsidP="00635ABB">
      <w:pPr>
        <w:autoSpaceDE w:val="0"/>
        <w:autoSpaceDN w:val="0"/>
        <w:adjustRightInd w:val="0"/>
        <w:spacing w:line="276" w:lineRule="auto"/>
        <w:rPr>
          <w:b/>
          <w:bCs/>
          <w:color w:val="000000" w:themeColor="text1"/>
        </w:rPr>
      </w:pPr>
    </w:p>
    <w:p w:rsidR="003E55FB" w:rsidRPr="00635ABB" w:rsidRDefault="003E55FB" w:rsidP="00635ABB">
      <w:pPr>
        <w:autoSpaceDE w:val="0"/>
        <w:autoSpaceDN w:val="0"/>
        <w:adjustRightInd w:val="0"/>
        <w:spacing w:line="276" w:lineRule="auto"/>
        <w:rPr>
          <w:b/>
          <w:bCs/>
          <w:color w:val="000000" w:themeColor="text1"/>
        </w:rPr>
      </w:pPr>
    </w:p>
    <w:p w:rsidR="003E55FB" w:rsidRPr="00635ABB" w:rsidRDefault="003E55FB" w:rsidP="00635ABB">
      <w:pPr>
        <w:autoSpaceDE w:val="0"/>
        <w:autoSpaceDN w:val="0"/>
        <w:adjustRightInd w:val="0"/>
        <w:spacing w:line="276" w:lineRule="auto"/>
        <w:rPr>
          <w:b/>
          <w:bCs/>
          <w:color w:val="000000" w:themeColor="text1"/>
        </w:rPr>
      </w:pPr>
    </w:p>
    <w:p w:rsidR="003E55FB" w:rsidRPr="00635ABB" w:rsidRDefault="003E55FB" w:rsidP="00635ABB">
      <w:pPr>
        <w:spacing w:line="276" w:lineRule="auto"/>
        <w:rPr>
          <w:b/>
          <w:bCs/>
          <w:color w:val="000000" w:themeColor="text1"/>
        </w:rPr>
      </w:pPr>
    </w:p>
    <w:p w:rsidR="003E55FB" w:rsidRPr="00635ABB" w:rsidRDefault="003E55FB" w:rsidP="00B04AA3">
      <w:pPr>
        <w:spacing w:line="276" w:lineRule="auto"/>
        <w:rPr>
          <w:b/>
          <w:bCs/>
          <w:color w:val="000000" w:themeColor="text1"/>
        </w:rPr>
      </w:pPr>
    </w:p>
    <w:p w:rsidR="003E55FB" w:rsidRPr="00635ABB" w:rsidRDefault="003E55FB" w:rsidP="00635ABB">
      <w:pPr>
        <w:spacing w:line="276" w:lineRule="auto"/>
        <w:jc w:val="center"/>
        <w:rPr>
          <w:b/>
          <w:bCs/>
          <w:color w:val="000000" w:themeColor="text1"/>
        </w:rPr>
      </w:pPr>
    </w:p>
    <w:p w:rsidR="003E55FB" w:rsidRPr="00635ABB" w:rsidRDefault="003E55FB" w:rsidP="00635ABB">
      <w:pPr>
        <w:spacing w:line="276" w:lineRule="auto"/>
        <w:jc w:val="center"/>
        <w:rPr>
          <w:b/>
          <w:bCs/>
          <w:color w:val="000000" w:themeColor="text1"/>
        </w:rPr>
      </w:pPr>
      <w:r w:rsidRPr="00635ABB">
        <w:rPr>
          <w:b/>
          <w:bCs/>
          <w:color w:val="000000" w:themeColor="text1"/>
        </w:rPr>
        <w:t>Cancer Incidence in Andover</w:t>
      </w:r>
      <w:r w:rsidR="0088063E">
        <w:rPr>
          <w:b/>
          <w:bCs/>
          <w:color w:val="000000" w:themeColor="text1"/>
        </w:rPr>
        <w:t>, New Hampshire</w:t>
      </w:r>
      <w:r w:rsidRPr="00635ABB">
        <w:rPr>
          <w:b/>
          <w:bCs/>
          <w:color w:val="000000" w:themeColor="text1"/>
        </w:rPr>
        <w:t>:</w:t>
      </w:r>
    </w:p>
    <w:p w:rsidR="003E55FB" w:rsidRPr="00635ABB" w:rsidRDefault="003E55FB" w:rsidP="00635ABB">
      <w:pPr>
        <w:spacing w:line="276" w:lineRule="auto"/>
        <w:jc w:val="center"/>
        <w:rPr>
          <w:b/>
          <w:bCs/>
          <w:color w:val="000000" w:themeColor="text1"/>
        </w:rPr>
      </w:pPr>
      <w:r w:rsidRPr="00635ABB">
        <w:rPr>
          <w:b/>
          <w:bCs/>
          <w:color w:val="000000" w:themeColor="text1"/>
        </w:rPr>
        <w:t xml:space="preserve">Analysis </w:t>
      </w:r>
      <w:r w:rsidR="0088063E">
        <w:rPr>
          <w:b/>
          <w:bCs/>
          <w:color w:val="000000" w:themeColor="text1"/>
        </w:rPr>
        <w:t>of</w:t>
      </w:r>
      <w:r w:rsidR="0088063E" w:rsidRPr="00635ABB">
        <w:rPr>
          <w:b/>
          <w:bCs/>
          <w:color w:val="000000" w:themeColor="text1"/>
        </w:rPr>
        <w:t xml:space="preserve"> </w:t>
      </w:r>
      <w:r w:rsidR="0088063E">
        <w:rPr>
          <w:b/>
          <w:bCs/>
          <w:color w:val="000000" w:themeColor="text1"/>
        </w:rPr>
        <w:t>P</w:t>
      </w:r>
      <w:r w:rsidRPr="00635ABB">
        <w:rPr>
          <w:b/>
          <w:bCs/>
          <w:color w:val="000000" w:themeColor="text1"/>
        </w:rPr>
        <w:t>otential Cancer Cluster</w:t>
      </w:r>
    </w:p>
    <w:p w:rsidR="003E55FB" w:rsidRPr="00635ABB" w:rsidRDefault="003E55FB" w:rsidP="00635ABB">
      <w:pPr>
        <w:spacing w:line="276" w:lineRule="auto"/>
        <w:jc w:val="center"/>
        <w:rPr>
          <w:b/>
          <w:bCs/>
          <w:color w:val="000000" w:themeColor="text1"/>
        </w:rPr>
      </w:pPr>
    </w:p>
    <w:p w:rsidR="003E55FB" w:rsidRPr="00635ABB" w:rsidRDefault="000421C5" w:rsidP="00635ABB">
      <w:pPr>
        <w:spacing w:line="276" w:lineRule="auto"/>
        <w:jc w:val="center"/>
        <w:rPr>
          <w:b/>
          <w:bCs/>
          <w:color w:val="000000" w:themeColor="text1"/>
        </w:rPr>
      </w:pPr>
      <w:r>
        <w:rPr>
          <w:b/>
          <w:bCs/>
          <w:color w:val="000000" w:themeColor="text1"/>
        </w:rPr>
        <w:t>October 22</w:t>
      </w:r>
      <w:r w:rsidR="003E55FB" w:rsidRPr="00635ABB">
        <w:rPr>
          <w:b/>
          <w:bCs/>
          <w:color w:val="000000" w:themeColor="text1"/>
        </w:rPr>
        <w:t>, 2014</w:t>
      </w:r>
    </w:p>
    <w:p w:rsidR="003E55FB" w:rsidRPr="00635ABB" w:rsidRDefault="003E55FB" w:rsidP="00635ABB">
      <w:pPr>
        <w:spacing w:line="276" w:lineRule="auto"/>
        <w:rPr>
          <w:b/>
          <w:bCs/>
          <w:color w:val="000000" w:themeColor="text1"/>
        </w:rPr>
      </w:pPr>
    </w:p>
    <w:p w:rsidR="003E55FB" w:rsidRPr="00635ABB" w:rsidRDefault="003E55FB" w:rsidP="00635ABB">
      <w:pPr>
        <w:spacing w:line="276" w:lineRule="auto"/>
        <w:rPr>
          <w:b/>
          <w:bCs/>
          <w:color w:val="000000" w:themeColor="text1"/>
        </w:rPr>
      </w:pPr>
    </w:p>
    <w:p w:rsidR="003E55FB" w:rsidRPr="00635ABB" w:rsidRDefault="003E55FB" w:rsidP="00635ABB">
      <w:pPr>
        <w:spacing w:line="276" w:lineRule="auto"/>
        <w:rPr>
          <w:b/>
          <w:bCs/>
          <w:color w:val="000000" w:themeColor="text1"/>
        </w:rPr>
      </w:pPr>
    </w:p>
    <w:p w:rsidR="003E55FB" w:rsidRDefault="003E55FB" w:rsidP="00635ABB">
      <w:pPr>
        <w:spacing w:line="276" w:lineRule="auto"/>
        <w:rPr>
          <w:b/>
          <w:bCs/>
          <w:color w:val="000000" w:themeColor="text1"/>
        </w:rPr>
      </w:pPr>
    </w:p>
    <w:p w:rsidR="00B04AA3" w:rsidRDefault="00B04AA3" w:rsidP="00635ABB">
      <w:pPr>
        <w:spacing w:line="276" w:lineRule="auto"/>
        <w:rPr>
          <w:b/>
          <w:bCs/>
          <w:color w:val="000000" w:themeColor="text1"/>
        </w:rPr>
      </w:pPr>
    </w:p>
    <w:p w:rsidR="00B04AA3" w:rsidRDefault="00B04AA3" w:rsidP="00635ABB">
      <w:pPr>
        <w:spacing w:line="276" w:lineRule="auto"/>
        <w:rPr>
          <w:b/>
          <w:bCs/>
          <w:color w:val="000000" w:themeColor="text1"/>
        </w:rPr>
      </w:pPr>
    </w:p>
    <w:p w:rsidR="00B04AA3" w:rsidRDefault="00B04AA3" w:rsidP="00635ABB">
      <w:pPr>
        <w:spacing w:line="276" w:lineRule="auto"/>
        <w:rPr>
          <w:b/>
          <w:bCs/>
          <w:color w:val="000000" w:themeColor="text1"/>
        </w:rPr>
      </w:pPr>
    </w:p>
    <w:p w:rsidR="00B04AA3" w:rsidRPr="00635ABB" w:rsidRDefault="00B04AA3" w:rsidP="00635ABB">
      <w:pPr>
        <w:spacing w:line="276" w:lineRule="auto"/>
        <w:rPr>
          <w:b/>
          <w:bCs/>
          <w:color w:val="000000" w:themeColor="text1"/>
        </w:rPr>
      </w:pPr>
    </w:p>
    <w:p w:rsidR="003E55FB" w:rsidRPr="00635ABB" w:rsidRDefault="003E55FB" w:rsidP="00635ABB">
      <w:pPr>
        <w:spacing w:line="276" w:lineRule="auto"/>
        <w:rPr>
          <w:b/>
          <w:bCs/>
          <w:color w:val="000000" w:themeColor="text1"/>
        </w:rPr>
      </w:pPr>
    </w:p>
    <w:p w:rsidR="003E55FB" w:rsidRPr="00635ABB" w:rsidRDefault="003E55FB" w:rsidP="00635ABB">
      <w:pPr>
        <w:spacing w:line="276" w:lineRule="auto"/>
        <w:rPr>
          <w:b/>
          <w:bCs/>
          <w:color w:val="000000" w:themeColor="text1"/>
        </w:rPr>
      </w:pPr>
    </w:p>
    <w:p w:rsidR="003E55FB" w:rsidRDefault="003E55FB" w:rsidP="00635ABB">
      <w:pPr>
        <w:spacing w:line="276" w:lineRule="auto"/>
        <w:jc w:val="center"/>
        <w:rPr>
          <w:b/>
          <w:bCs/>
          <w:color w:val="000000" w:themeColor="text1"/>
        </w:rPr>
      </w:pPr>
      <w:r w:rsidRPr="00635ABB">
        <w:rPr>
          <w:b/>
          <w:bCs/>
          <w:color w:val="000000" w:themeColor="text1"/>
        </w:rPr>
        <w:t>Prepared by</w:t>
      </w:r>
      <w:r w:rsidR="0088063E">
        <w:rPr>
          <w:b/>
          <w:bCs/>
          <w:color w:val="000000" w:themeColor="text1"/>
        </w:rPr>
        <w:t>:</w:t>
      </w:r>
    </w:p>
    <w:p w:rsidR="00B97876" w:rsidRPr="00B97876" w:rsidRDefault="00B97876" w:rsidP="00635ABB">
      <w:pPr>
        <w:spacing w:line="276" w:lineRule="auto"/>
        <w:jc w:val="center"/>
        <w:rPr>
          <w:bCs/>
          <w:color w:val="000000" w:themeColor="text1"/>
        </w:rPr>
      </w:pPr>
      <w:r w:rsidRPr="00B97876">
        <w:rPr>
          <w:bCs/>
          <w:color w:val="000000" w:themeColor="text1"/>
        </w:rPr>
        <w:t>GM Monawar Hosain, MD, PHD</w:t>
      </w:r>
    </w:p>
    <w:p w:rsidR="003E55FB" w:rsidRPr="00635ABB" w:rsidRDefault="003E55FB" w:rsidP="00635ABB">
      <w:pPr>
        <w:spacing w:line="276" w:lineRule="auto"/>
        <w:jc w:val="center"/>
        <w:rPr>
          <w:color w:val="000000" w:themeColor="text1"/>
        </w:rPr>
      </w:pPr>
      <w:r w:rsidRPr="00635ABB">
        <w:rPr>
          <w:color w:val="000000" w:themeColor="text1"/>
        </w:rPr>
        <w:t>New Hampshire Department of Health and Human Services</w:t>
      </w:r>
    </w:p>
    <w:p w:rsidR="003E55FB" w:rsidRPr="00635ABB" w:rsidRDefault="003E55FB" w:rsidP="00635ABB">
      <w:pPr>
        <w:spacing w:before="60" w:line="276" w:lineRule="auto"/>
        <w:jc w:val="center"/>
        <w:rPr>
          <w:color w:val="000000" w:themeColor="text1"/>
        </w:rPr>
      </w:pPr>
      <w:r w:rsidRPr="00635ABB">
        <w:rPr>
          <w:color w:val="000000" w:themeColor="text1"/>
        </w:rPr>
        <w:t>Division of Public Health Services</w:t>
      </w:r>
    </w:p>
    <w:p w:rsidR="003E55FB" w:rsidRPr="00635ABB" w:rsidRDefault="003E55FB" w:rsidP="00635ABB">
      <w:pPr>
        <w:spacing w:before="60" w:line="276" w:lineRule="auto"/>
        <w:jc w:val="center"/>
        <w:rPr>
          <w:noProof/>
          <w:color w:val="000000" w:themeColor="text1"/>
        </w:rPr>
      </w:pPr>
      <w:r w:rsidRPr="00635ABB">
        <w:rPr>
          <w:noProof/>
          <w:color w:val="000000" w:themeColor="text1"/>
        </w:rPr>
        <w:t>Health Statistics and Data Management</w:t>
      </w:r>
    </w:p>
    <w:p w:rsidR="003E55FB" w:rsidRPr="00635ABB" w:rsidRDefault="003E55FB" w:rsidP="00073AD7">
      <w:pPr>
        <w:spacing w:after="200" w:line="276" w:lineRule="auto"/>
        <w:jc w:val="center"/>
      </w:pPr>
      <w:r w:rsidRPr="00635ABB">
        <w:rPr>
          <w:noProof/>
          <w:color w:val="000000" w:themeColor="text1"/>
        </w:rPr>
        <w:t>New Hampshire State Cancer Registry</w:t>
      </w:r>
    </w:p>
    <w:p w:rsidR="003322D6" w:rsidRDefault="003322D6">
      <w:pPr>
        <w:spacing w:after="200" w:line="276" w:lineRule="auto"/>
        <w:rPr>
          <w:b/>
        </w:rPr>
      </w:pPr>
      <w:r>
        <w:rPr>
          <w:b/>
        </w:rPr>
        <w:br w:type="page"/>
      </w:r>
    </w:p>
    <w:p w:rsidR="003E55FB" w:rsidRPr="00635ABB" w:rsidRDefault="0036249F" w:rsidP="00B97876">
      <w:pPr>
        <w:spacing w:line="276" w:lineRule="auto"/>
      </w:pPr>
      <w:r>
        <w:rPr>
          <w:b/>
        </w:rPr>
        <w:lastRenderedPageBreak/>
        <w:t>SUMMARY</w:t>
      </w:r>
      <w:r w:rsidR="00FD1F5D">
        <w:t>:</w:t>
      </w:r>
    </w:p>
    <w:p w:rsidR="003E55FB" w:rsidRPr="00635ABB" w:rsidRDefault="003E55FB" w:rsidP="00635ABB">
      <w:pPr>
        <w:spacing w:line="276" w:lineRule="auto"/>
      </w:pPr>
    </w:p>
    <w:p w:rsidR="00C76002" w:rsidRPr="00712AA7" w:rsidRDefault="0088063E" w:rsidP="00712AA7">
      <w:pPr>
        <w:spacing w:line="276" w:lineRule="auto"/>
        <w:rPr>
          <w:color w:val="000000"/>
        </w:rPr>
      </w:pPr>
      <w:r>
        <w:t>O</w:t>
      </w:r>
      <w:r w:rsidR="003E55FB" w:rsidRPr="00635ABB">
        <w:t>n Aug</w:t>
      </w:r>
      <w:r>
        <w:t>ust</w:t>
      </w:r>
      <w:r w:rsidR="003E55FB" w:rsidRPr="00635ABB">
        <w:t xml:space="preserve"> </w:t>
      </w:r>
      <w:r w:rsidR="006D42CC" w:rsidRPr="00635ABB">
        <w:t xml:space="preserve">1, </w:t>
      </w:r>
      <w:r w:rsidR="003E55FB" w:rsidRPr="00635ABB">
        <w:t xml:space="preserve">2012, </w:t>
      </w:r>
      <w:r w:rsidR="0036249F">
        <w:t xml:space="preserve">The NH State Cancer Registry </w:t>
      </w:r>
      <w:r w:rsidR="003E55FB" w:rsidRPr="00635ABB">
        <w:t xml:space="preserve">received a concern from </w:t>
      </w:r>
      <w:r w:rsidR="0036249F">
        <w:t xml:space="preserve">residents of </w:t>
      </w:r>
      <w:r w:rsidR="003E55FB" w:rsidRPr="00635ABB">
        <w:t>Andover</w:t>
      </w:r>
      <w:r w:rsidR="006D42CC" w:rsidRPr="00635ABB">
        <w:t xml:space="preserve">, </w:t>
      </w:r>
      <w:r w:rsidR="00046F79">
        <w:t>New Hampshire (</w:t>
      </w:r>
      <w:r w:rsidR="006D42CC" w:rsidRPr="00635ABB">
        <w:t>NH</w:t>
      </w:r>
      <w:r w:rsidR="00046F79">
        <w:t>)</w:t>
      </w:r>
      <w:r w:rsidR="0036249F">
        <w:t xml:space="preserve"> regarding perceived elevated cancer incidence in Andover Village. The residents were concerned about exposure to contaminants in the community water system</w:t>
      </w:r>
      <w:r w:rsidR="003E55FB" w:rsidRPr="00635ABB">
        <w:t>.</w:t>
      </w:r>
      <w:r w:rsidR="006D42CC" w:rsidRPr="00635ABB">
        <w:rPr>
          <w:color w:val="000000"/>
        </w:rPr>
        <w:t xml:space="preserve"> At </w:t>
      </w:r>
      <w:r w:rsidR="00483F5C">
        <w:rPr>
          <w:color w:val="000000"/>
        </w:rPr>
        <w:t xml:space="preserve">the </w:t>
      </w:r>
      <w:r w:rsidR="006D42CC" w:rsidRPr="00635ABB">
        <w:rPr>
          <w:color w:val="000000"/>
        </w:rPr>
        <w:t>time</w:t>
      </w:r>
      <w:r w:rsidR="00483F5C">
        <w:rPr>
          <w:color w:val="000000"/>
        </w:rPr>
        <w:t xml:space="preserve"> the concern was reported</w:t>
      </w:r>
      <w:r w:rsidR="00242E3A">
        <w:rPr>
          <w:color w:val="000000"/>
        </w:rPr>
        <w:t>,</w:t>
      </w:r>
      <w:r w:rsidR="006D42CC" w:rsidRPr="00635ABB">
        <w:rPr>
          <w:color w:val="000000"/>
        </w:rPr>
        <w:t xml:space="preserve"> </w:t>
      </w:r>
      <w:r w:rsidR="0036249F">
        <w:rPr>
          <w:color w:val="000000"/>
        </w:rPr>
        <w:t xml:space="preserve">residents </w:t>
      </w:r>
      <w:r w:rsidR="00483F5C">
        <w:rPr>
          <w:color w:val="000000"/>
        </w:rPr>
        <w:t xml:space="preserve">had </w:t>
      </w:r>
      <w:r w:rsidR="0036249F">
        <w:rPr>
          <w:color w:val="000000"/>
        </w:rPr>
        <w:t xml:space="preserve">identified </w:t>
      </w:r>
      <w:r w:rsidR="006D42CC" w:rsidRPr="00635ABB">
        <w:rPr>
          <w:color w:val="000000"/>
        </w:rPr>
        <w:t xml:space="preserve">eight known cancer </w:t>
      </w:r>
      <w:r w:rsidR="00483F5C">
        <w:rPr>
          <w:color w:val="000000"/>
        </w:rPr>
        <w:t>cases</w:t>
      </w:r>
      <w:r w:rsidR="006D42CC" w:rsidRPr="00635ABB">
        <w:rPr>
          <w:color w:val="000000"/>
        </w:rPr>
        <w:t xml:space="preserve"> in an area of 20 single family residence</w:t>
      </w:r>
      <w:r w:rsidR="0036249F">
        <w:rPr>
          <w:color w:val="000000"/>
        </w:rPr>
        <w:t xml:space="preserve"> homes</w:t>
      </w:r>
      <w:r w:rsidR="006D42CC" w:rsidRPr="00635ABB">
        <w:rPr>
          <w:color w:val="000000"/>
        </w:rPr>
        <w:t xml:space="preserve">. </w:t>
      </w:r>
      <w:r w:rsidR="0036249F">
        <w:rPr>
          <w:color w:val="000000"/>
        </w:rPr>
        <w:t xml:space="preserve">The cases were of varying types of cancer and were not associated with a specific age or gender group. The concerned citizens </w:t>
      </w:r>
      <w:r w:rsidR="00242E3A" w:rsidRPr="00635ABB">
        <w:rPr>
          <w:color w:val="000000"/>
        </w:rPr>
        <w:t>request</w:t>
      </w:r>
      <w:r w:rsidR="00242E3A">
        <w:rPr>
          <w:color w:val="000000"/>
        </w:rPr>
        <w:t xml:space="preserve">ed </w:t>
      </w:r>
      <w:r w:rsidR="00F76A5B">
        <w:rPr>
          <w:color w:val="000000"/>
        </w:rPr>
        <w:t xml:space="preserve">information on </w:t>
      </w:r>
      <w:r w:rsidR="00C23E3C" w:rsidRPr="00635ABB">
        <w:rPr>
          <w:color w:val="000000"/>
        </w:rPr>
        <w:t xml:space="preserve">the number of cancer cases in the </w:t>
      </w:r>
      <w:r w:rsidR="00242E3A">
        <w:rPr>
          <w:color w:val="000000"/>
        </w:rPr>
        <w:t>past</w:t>
      </w:r>
      <w:r w:rsidR="00C23E3C" w:rsidRPr="00635ABB">
        <w:rPr>
          <w:color w:val="000000"/>
        </w:rPr>
        <w:t xml:space="preserve"> 10 years in Andover Village Water </w:t>
      </w:r>
      <w:r w:rsidR="00C23E3C" w:rsidRPr="00712AA7">
        <w:rPr>
          <w:color w:val="000000"/>
        </w:rPr>
        <w:t>District</w:t>
      </w:r>
      <w:r w:rsidR="0036249F">
        <w:rPr>
          <w:color w:val="000000"/>
        </w:rPr>
        <w:t xml:space="preserve"> and for an evaluation of potential environmental exposures.</w:t>
      </w:r>
      <w:r w:rsidR="006D42CC" w:rsidRPr="00712AA7">
        <w:rPr>
          <w:color w:val="000000"/>
        </w:rPr>
        <w:t xml:space="preserve"> </w:t>
      </w:r>
    </w:p>
    <w:p w:rsidR="00C76002" w:rsidRPr="00712AA7" w:rsidRDefault="00C76002" w:rsidP="00712AA7">
      <w:pPr>
        <w:spacing w:line="276" w:lineRule="auto"/>
        <w:rPr>
          <w:color w:val="000000"/>
        </w:rPr>
      </w:pPr>
    </w:p>
    <w:p w:rsidR="000D3E02" w:rsidRDefault="000D3E02" w:rsidP="000D3E02">
      <w:pPr>
        <w:autoSpaceDE w:val="0"/>
        <w:autoSpaceDN w:val="0"/>
        <w:adjustRightInd w:val="0"/>
        <w:spacing w:line="276" w:lineRule="auto"/>
      </w:pPr>
      <w:r>
        <w:t xml:space="preserve">Cancer is </w:t>
      </w:r>
      <w:r w:rsidR="0045059D">
        <w:t xml:space="preserve">now becoming a </w:t>
      </w:r>
      <w:r>
        <w:t>highly visible disease</w:t>
      </w:r>
      <w:r w:rsidR="0045059D">
        <w:t xml:space="preserve"> as </w:t>
      </w:r>
      <w:r>
        <w:t>it is the cause of approximately 23% of all deaths in United States and nearly 25% of all deaths in New Hampshire. As you might expect, the common occurrence of a disease increases the potential for cases to appear to cluster in a neighborhood. The Centers for Disease Control and Prevention (CDC) definition for a cancer cluster is a greater than expected number of cancer cases occurring within a group of people, in a geographic area, or over a period of time. According to the National Cancer Institute, a suspected cancer cluster is more likely to be a true cluster, rather than a coincidence, if it involves:</w:t>
      </w:r>
    </w:p>
    <w:p w:rsidR="000D3E02" w:rsidRDefault="000D3E02" w:rsidP="000D3E02">
      <w:pPr>
        <w:autoSpaceDE w:val="0"/>
        <w:autoSpaceDN w:val="0"/>
        <w:adjustRightInd w:val="0"/>
        <w:spacing w:line="276" w:lineRule="auto"/>
      </w:pPr>
    </w:p>
    <w:p w:rsidR="000D3E02" w:rsidRDefault="000D3E02" w:rsidP="000D3E02">
      <w:pPr>
        <w:autoSpaceDE w:val="0"/>
        <w:autoSpaceDN w:val="0"/>
        <w:adjustRightInd w:val="0"/>
        <w:spacing w:line="276" w:lineRule="auto"/>
      </w:pPr>
      <w:r>
        <w:t>1) A large number of cases of a similar type of cancer, rather than several different types;</w:t>
      </w:r>
    </w:p>
    <w:p w:rsidR="000D3E02" w:rsidRDefault="000D3E02" w:rsidP="000D3E02">
      <w:pPr>
        <w:autoSpaceDE w:val="0"/>
        <w:autoSpaceDN w:val="0"/>
        <w:adjustRightInd w:val="0"/>
        <w:spacing w:line="276" w:lineRule="auto"/>
      </w:pPr>
      <w:r>
        <w:t>2) A rare type of cancer, rather than common types; and</w:t>
      </w:r>
    </w:p>
    <w:p w:rsidR="000D3E02" w:rsidRDefault="000D3E02" w:rsidP="000D3E02">
      <w:pPr>
        <w:autoSpaceDE w:val="0"/>
        <w:autoSpaceDN w:val="0"/>
        <w:adjustRightInd w:val="0"/>
        <w:spacing w:line="276" w:lineRule="auto"/>
      </w:pPr>
      <w:r>
        <w:t>3) An increased number of cases of a certain type of cancer in an age group that is not usually affected by that type of cancer.</w:t>
      </w:r>
    </w:p>
    <w:p w:rsidR="000D3E02" w:rsidRDefault="000D3E02" w:rsidP="00712AA7">
      <w:pPr>
        <w:autoSpaceDE w:val="0"/>
        <w:autoSpaceDN w:val="0"/>
        <w:adjustRightInd w:val="0"/>
        <w:spacing w:line="276" w:lineRule="auto"/>
      </w:pPr>
    </w:p>
    <w:p w:rsidR="00483F5C" w:rsidRPr="003F3862" w:rsidRDefault="0036249F" w:rsidP="00712AA7">
      <w:pPr>
        <w:autoSpaceDE w:val="0"/>
        <w:autoSpaceDN w:val="0"/>
        <w:adjustRightInd w:val="0"/>
        <w:spacing w:line="276" w:lineRule="auto"/>
      </w:pPr>
      <w:r w:rsidRPr="003F3862">
        <w:t xml:space="preserve">After discussion with the individuals reporting the concern it was determined that </w:t>
      </w:r>
      <w:r w:rsidR="00DF289B" w:rsidRPr="003F3862">
        <w:t>the concern did not meet the base criteria to initiate a cancer cluster investigation</w:t>
      </w:r>
      <w:r w:rsidR="00483F5C" w:rsidRPr="003F3862">
        <w:t xml:space="preserve"> and no specific environmental exposures</w:t>
      </w:r>
      <w:r w:rsidRPr="003F3862">
        <w:t xml:space="preserve"> </w:t>
      </w:r>
      <w:r w:rsidR="00483F5C" w:rsidRPr="003F3862">
        <w:t>could be</w:t>
      </w:r>
      <w:r w:rsidRPr="003F3862">
        <w:t xml:space="preserve"> identified</w:t>
      </w:r>
      <w:r w:rsidR="00DF289B" w:rsidRPr="003F3862">
        <w:t xml:space="preserve"> (though general concern regarding the community water system was expressed)</w:t>
      </w:r>
      <w:r w:rsidR="000D3E02" w:rsidRPr="003F3862">
        <w:t xml:space="preserve">, therefore a formal </w:t>
      </w:r>
      <w:r w:rsidR="0045059D" w:rsidRPr="003F3862">
        <w:t xml:space="preserve">detailed </w:t>
      </w:r>
      <w:r w:rsidR="000D3E02" w:rsidRPr="003F3862">
        <w:t>cancer cluster investigation was not initiated</w:t>
      </w:r>
      <w:r w:rsidRPr="003F3862">
        <w:t xml:space="preserve">. </w:t>
      </w:r>
      <w:r w:rsidR="00483F5C" w:rsidRPr="003F3862">
        <w:t>Regardless</w:t>
      </w:r>
      <w:r w:rsidR="000D3E02" w:rsidRPr="003F3862">
        <w:t xml:space="preserve"> of the formal protocol</w:t>
      </w:r>
      <w:r w:rsidR="00483F5C" w:rsidRPr="003F3862">
        <w:t>, the NH State Cancer Registry followed through with an analysis of available data</w:t>
      </w:r>
      <w:r w:rsidR="000D3E02" w:rsidRPr="003F3862">
        <w:t xml:space="preserve"> in acknowledgement of the concern just to be sure no specific problem could be identified</w:t>
      </w:r>
      <w:r w:rsidR="00483F5C" w:rsidRPr="003F3862">
        <w:t xml:space="preserve">. Though residents perceived high levels of cancer in the community a statistical analysis using the NH Cancer Registry data indicated that rates in Andover were not significantly different from what would be expected in a population with Andover’s demographic characteristics. Additionally, </w:t>
      </w:r>
      <w:r w:rsidR="00B218EF" w:rsidRPr="003F3862">
        <w:t>after review of the water quality data</w:t>
      </w:r>
      <w:r w:rsidR="003F3862" w:rsidRPr="003F3862">
        <w:t xml:space="preserve">, </w:t>
      </w:r>
      <w:r w:rsidR="00483F5C" w:rsidRPr="003F3862">
        <w:t>we found no</w:t>
      </w:r>
      <w:r w:rsidR="00B218EF" w:rsidRPr="003F3862">
        <w:t xml:space="preserve"> evidence of</w:t>
      </w:r>
      <w:r w:rsidR="00483F5C" w:rsidRPr="003F3862">
        <w:t xml:space="preserve"> </w:t>
      </w:r>
      <w:r w:rsidR="00B230DB">
        <w:t xml:space="preserve">regulatory violations </w:t>
      </w:r>
      <w:r w:rsidR="00B218EF" w:rsidRPr="003F3862">
        <w:t xml:space="preserve">in </w:t>
      </w:r>
      <w:r w:rsidR="00483F5C" w:rsidRPr="003F3862">
        <w:t xml:space="preserve">the community </w:t>
      </w:r>
      <w:r w:rsidR="003F3862" w:rsidRPr="003F3862">
        <w:t xml:space="preserve">water </w:t>
      </w:r>
      <w:r w:rsidR="00483F5C" w:rsidRPr="003F3862">
        <w:t xml:space="preserve">system serving Andover Village. </w:t>
      </w:r>
    </w:p>
    <w:p w:rsidR="00483F5C" w:rsidRDefault="00483F5C" w:rsidP="00712AA7">
      <w:pPr>
        <w:autoSpaceDE w:val="0"/>
        <w:autoSpaceDN w:val="0"/>
        <w:adjustRightInd w:val="0"/>
        <w:spacing w:line="276" w:lineRule="auto"/>
      </w:pPr>
    </w:p>
    <w:p w:rsidR="00D821F3" w:rsidRDefault="00D821F3" w:rsidP="00D821F3">
      <w:pPr>
        <w:autoSpaceDE w:val="0"/>
        <w:autoSpaceDN w:val="0"/>
        <w:adjustRightInd w:val="0"/>
        <w:spacing w:line="276" w:lineRule="auto"/>
      </w:pPr>
      <w:r w:rsidRPr="00D821F3">
        <w:t xml:space="preserve">Cancer is a very real and difficult group of diseases for individuals to </w:t>
      </w:r>
      <w:r>
        <w:t xml:space="preserve">understand and know how </w:t>
      </w:r>
      <w:r w:rsidR="003F3862">
        <w:t xml:space="preserve">to </w:t>
      </w:r>
      <w:r w:rsidRPr="00D821F3">
        <w:t>protect themselves</w:t>
      </w:r>
      <w:r>
        <w:t xml:space="preserve"> and their families</w:t>
      </w:r>
      <w:r w:rsidRPr="00D821F3">
        <w:t xml:space="preserve"> from</w:t>
      </w:r>
      <w:r>
        <w:t xml:space="preserve">. This report does not rule out the possibility of environmental exposures in Andover or Andover Village. However, the absence of significant findings suggests there is no widespread environmental concern impacting the entire community. </w:t>
      </w:r>
    </w:p>
    <w:p w:rsidR="00D821F3" w:rsidRDefault="00D821F3" w:rsidP="00D821F3">
      <w:pPr>
        <w:autoSpaceDE w:val="0"/>
        <w:autoSpaceDN w:val="0"/>
        <w:adjustRightInd w:val="0"/>
        <w:spacing w:line="276" w:lineRule="auto"/>
      </w:pPr>
    </w:p>
    <w:p w:rsidR="00B223DB" w:rsidRDefault="00D821F3" w:rsidP="00D821F3">
      <w:pPr>
        <w:autoSpaceDE w:val="0"/>
        <w:autoSpaceDN w:val="0"/>
        <w:adjustRightInd w:val="0"/>
        <w:spacing w:line="276" w:lineRule="auto"/>
        <w:rPr>
          <w:color w:val="000000"/>
        </w:rPr>
      </w:pPr>
      <w:r>
        <w:t>There are still a wide range of preventative actions for individuals to consider if they want to reduce their overall risk of developing cancer. Therefore, i</w:t>
      </w:r>
      <w:r w:rsidR="000D3E02">
        <w:t xml:space="preserve">n follow up to the concerns a dialogue between the community and the NH Department of Health and Human Services was opened and </w:t>
      </w:r>
      <w:r w:rsidR="000D3E02">
        <w:rPr>
          <w:color w:val="000000"/>
        </w:rPr>
        <w:t>two community meetings were planned. The first,</w:t>
      </w:r>
      <w:r w:rsidR="00F76A5B">
        <w:rPr>
          <w:color w:val="000000"/>
        </w:rPr>
        <w:t xml:space="preserve"> a</w:t>
      </w:r>
      <w:r w:rsidR="00712AA7" w:rsidRPr="00712AA7">
        <w:rPr>
          <w:color w:val="000000"/>
        </w:rPr>
        <w:t xml:space="preserve">n educational training program on cancer prevention and early detection </w:t>
      </w:r>
      <w:r w:rsidR="00242E3A">
        <w:rPr>
          <w:color w:val="000000"/>
        </w:rPr>
        <w:t>was held at</w:t>
      </w:r>
      <w:r w:rsidR="00242E3A" w:rsidRPr="00712AA7">
        <w:rPr>
          <w:color w:val="000000"/>
        </w:rPr>
        <w:t xml:space="preserve"> </w:t>
      </w:r>
      <w:r w:rsidR="00712AA7" w:rsidRPr="00712AA7">
        <w:rPr>
          <w:color w:val="000000"/>
        </w:rPr>
        <w:t xml:space="preserve">a Town Hall meeting at Andover on June 6, 2014. </w:t>
      </w:r>
      <w:r w:rsidR="000D3E02">
        <w:rPr>
          <w:color w:val="000000"/>
        </w:rPr>
        <w:t xml:space="preserve">The second, a discussion of the data and this report, </w:t>
      </w:r>
      <w:r w:rsidR="00B230DB">
        <w:rPr>
          <w:color w:val="000000"/>
        </w:rPr>
        <w:t xml:space="preserve">was held on </w:t>
      </w:r>
      <w:r w:rsidR="000D3E02">
        <w:rPr>
          <w:color w:val="000000"/>
        </w:rPr>
        <w:t>October 22</w:t>
      </w:r>
      <w:r w:rsidR="000D3E02" w:rsidRPr="0045059D">
        <w:rPr>
          <w:color w:val="000000"/>
          <w:vertAlign w:val="superscript"/>
        </w:rPr>
        <w:t>nd</w:t>
      </w:r>
      <w:r w:rsidR="000D3E02">
        <w:rPr>
          <w:color w:val="000000"/>
        </w:rPr>
        <w:t xml:space="preserve">. </w:t>
      </w:r>
    </w:p>
    <w:p w:rsidR="005B0CC8" w:rsidRPr="00712AA7" w:rsidRDefault="00712AA7" w:rsidP="00712AA7">
      <w:pPr>
        <w:autoSpaceDE w:val="0"/>
        <w:autoSpaceDN w:val="0"/>
        <w:adjustRightInd w:val="0"/>
        <w:spacing w:line="276" w:lineRule="auto"/>
        <w:rPr>
          <w:color w:val="000000"/>
        </w:rPr>
      </w:pPr>
      <w:r w:rsidRPr="00712AA7">
        <w:rPr>
          <w:color w:val="000000"/>
        </w:rPr>
        <w:t xml:space="preserve">  </w:t>
      </w:r>
      <w:r w:rsidR="005B0CC8" w:rsidRPr="00712AA7">
        <w:rPr>
          <w:color w:val="000000"/>
        </w:rPr>
        <w:t xml:space="preserve"> </w:t>
      </w:r>
    </w:p>
    <w:p w:rsidR="00C465EA" w:rsidRPr="00712AA7" w:rsidRDefault="00712AA7" w:rsidP="00712AA7">
      <w:pPr>
        <w:spacing w:line="276" w:lineRule="auto"/>
        <w:rPr>
          <w:color w:val="000000"/>
        </w:rPr>
      </w:pPr>
      <w:r w:rsidRPr="00712AA7">
        <w:t>A</w:t>
      </w:r>
      <w:r w:rsidR="00285EEF" w:rsidRPr="00712AA7">
        <w:t xml:space="preserve">n initial statistical analysis </w:t>
      </w:r>
      <w:r w:rsidRPr="00712AA7">
        <w:t>was</w:t>
      </w:r>
      <w:r w:rsidR="00285EEF" w:rsidRPr="00712AA7">
        <w:t xml:space="preserve"> carried out based on current Andover data </w:t>
      </w:r>
      <w:r w:rsidR="0018006F">
        <w:t xml:space="preserve">recorded in </w:t>
      </w:r>
      <w:r w:rsidR="00621628">
        <w:t xml:space="preserve">the </w:t>
      </w:r>
      <w:r w:rsidR="0018006F">
        <w:t xml:space="preserve">NH </w:t>
      </w:r>
      <w:r w:rsidR="00080109">
        <w:t>State C</w:t>
      </w:r>
      <w:r w:rsidR="0018006F">
        <w:t xml:space="preserve">ancer </w:t>
      </w:r>
      <w:r w:rsidR="00080109">
        <w:t>R</w:t>
      </w:r>
      <w:r w:rsidR="0018006F">
        <w:t xml:space="preserve">egistry </w:t>
      </w:r>
      <w:r>
        <w:t xml:space="preserve">for the time period of 2005-2011 </w:t>
      </w:r>
      <w:r w:rsidR="00285EEF" w:rsidRPr="00712AA7">
        <w:t xml:space="preserve">to </w:t>
      </w:r>
      <w:r w:rsidR="00080109">
        <w:t>investigate</w:t>
      </w:r>
      <w:r w:rsidR="00080109" w:rsidRPr="00712AA7">
        <w:t xml:space="preserve"> </w:t>
      </w:r>
      <w:r w:rsidR="00285EEF" w:rsidRPr="00712AA7">
        <w:t>this concern.</w:t>
      </w:r>
      <w:r w:rsidR="00C76002" w:rsidRPr="00712AA7">
        <w:t xml:space="preserve"> </w:t>
      </w:r>
      <w:r w:rsidR="00C4633C">
        <w:t xml:space="preserve">The contents of this report detail </w:t>
      </w:r>
      <w:r w:rsidR="00D821F3">
        <w:t>the findings of this analysis</w:t>
      </w:r>
      <w:r w:rsidR="00C4633C">
        <w:t xml:space="preserve">. </w:t>
      </w:r>
    </w:p>
    <w:p w:rsidR="007A6035" w:rsidRPr="00635ABB" w:rsidRDefault="007A6035" w:rsidP="00635ABB">
      <w:pPr>
        <w:spacing w:line="276" w:lineRule="auto"/>
        <w:rPr>
          <w:color w:val="000000"/>
        </w:rPr>
      </w:pPr>
    </w:p>
    <w:p w:rsidR="000E1D1D" w:rsidRDefault="000E1D1D">
      <w:pPr>
        <w:spacing w:after="200" w:line="276" w:lineRule="auto"/>
        <w:rPr>
          <w:color w:val="000000"/>
        </w:rPr>
      </w:pPr>
      <w:r>
        <w:rPr>
          <w:color w:val="000000"/>
        </w:rPr>
        <w:br w:type="page"/>
      </w:r>
    </w:p>
    <w:p w:rsidR="002D6265" w:rsidRDefault="00621628" w:rsidP="00635ABB">
      <w:pPr>
        <w:spacing w:line="276" w:lineRule="auto"/>
        <w:rPr>
          <w:color w:val="000000"/>
        </w:rPr>
      </w:pPr>
      <w:r w:rsidRPr="00073AD7">
        <w:rPr>
          <w:b/>
          <w:color w:val="000000"/>
        </w:rPr>
        <w:t>BACKGROUND</w:t>
      </w:r>
      <w:r w:rsidR="00AC1779">
        <w:rPr>
          <w:color w:val="000000"/>
        </w:rPr>
        <w:t>:</w:t>
      </w:r>
    </w:p>
    <w:p w:rsidR="00B223DB" w:rsidRPr="00635ABB" w:rsidRDefault="00B223DB" w:rsidP="00635ABB">
      <w:pPr>
        <w:spacing w:line="276" w:lineRule="auto"/>
        <w:rPr>
          <w:color w:val="000000"/>
        </w:rPr>
      </w:pPr>
    </w:p>
    <w:p w:rsidR="00CC231F" w:rsidRPr="00635ABB" w:rsidRDefault="00CC231F" w:rsidP="00AC1779">
      <w:pPr>
        <w:spacing w:line="276" w:lineRule="auto"/>
        <w:rPr>
          <w:color w:val="000000"/>
        </w:rPr>
      </w:pPr>
      <w:r w:rsidRPr="00635ABB">
        <w:rPr>
          <w:color w:val="000000"/>
        </w:rPr>
        <w:t>Cancer is now becoming more</w:t>
      </w:r>
      <w:r w:rsidR="0018006F">
        <w:rPr>
          <w:color w:val="000000"/>
        </w:rPr>
        <w:t xml:space="preserve"> and more</w:t>
      </w:r>
      <w:r w:rsidRPr="00635ABB">
        <w:rPr>
          <w:color w:val="000000"/>
        </w:rPr>
        <w:t xml:space="preserve"> </w:t>
      </w:r>
      <w:r w:rsidR="00CD1CF8">
        <w:rPr>
          <w:color w:val="000000"/>
        </w:rPr>
        <w:t>visible</w:t>
      </w:r>
      <w:r w:rsidR="00CD1CF8" w:rsidRPr="00635ABB">
        <w:rPr>
          <w:color w:val="000000"/>
        </w:rPr>
        <w:t xml:space="preserve"> </w:t>
      </w:r>
      <w:r w:rsidRPr="00635ABB">
        <w:rPr>
          <w:color w:val="000000"/>
        </w:rPr>
        <w:t xml:space="preserve">as people are living longer. According to </w:t>
      </w:r>
      <w:r w:rsidR="00080109">
        <w:rPr>
          <w:color w:val="000000"/>
        </w:rPr>
        <w:t xml:space="preserve">the </w:t>
      </w:r>
      <w:r w:rsidRPr="00635ABB">
        <w:rPr>
          <w:color w:val="000000"/>
        </w:rPr>
        <w:t xml:space="preserve">American Cancer Society, one out of three people will be diagnosed with cancer </w:t>
      </w:r>
      <w:r w:rsidR="00080109">
        <w:rPr>
          <w:color w:val="000000"/>
        </w:rPr>
        <w:t>during</w:t>
      </w:r>
      <w:r w:rsidR="00080109" w:rsidRPr="00635ABB">
        <w:rPr>
          <w:color w:val="000000"/>
        </w:rPr>
        <w:t xml:space="preserve"> </w:t>
      </w:r>
      <w:r w:rsidRPr="00635ABB">
        <w:rPr>
          <w:color w:val="000000"/>
        </w:rPr>
        <w:t>their lifetime, making this a very common disease. Since 2005, c</w:t>
      </w:r>
      <w:r w:rsidR="007A6035" w:rsidRPr="00635ABB">
        <w:rPr>
          <w:color w:val="000000"/>
        </w:rPr>
        <w:t>ancer has been the #1 leading cause of d</w:t>
      </w:r>
      <w:r w:rsidRPr="00635ABB">
        <w:rPr>
          <w:color w:val="000000"/>
        </w:rPr>
        <w:t xml:space="preserve">eath in </w:t>
      </w:r>
      <w:r w:rsidR="00046F79">
        <w:rPr>
          <w:color w:val="000000"/>
        </w:rPr>
        <w:t>NH</w:t>
      </w:r>
      <w:r w:rsidRPr="00635ABB">
        <w:rPr>
          <w:color w:val="000000"/>
        </w:rPr>
        <w:t xml:space="preserve"> overtaking heart disease</w:t>
      </w:r>
      <w:r w:rsidR="00285EEF" w:rsidRPr="00635ABB">
        <w:rPr>
          <w:color w:val="000000"/>
        </w:rPr>
        <w:t xml:space="preserve"> and i</w:t>
      </w:r>
      <w:r w:rsidR="007A6035" w:rsidRPr="00635ABB">
        <w:rPr>
          <w:color w:val="000000"/>
        </w:rPr>
        <w:t>t is the cause of approximately 25%</w:t>
      </w:r>
      <w:r w:rsidRPr="00635ABB">
        <w:rPr>
          <w:color w:val="000000"/>
        </w:rPr>
        <w:t xml:space="preserve"> of all deaths in </w:t>
      </w:r>
      <w:r w:rsidR="00046F79">
        <w:rPr>
          <w:color w:val="000000"/>
        </w:rPr>
        <w:t>NH</w:t>
      </w:r>
      <w:r w:rsidRPr="00635ABB">
        <w:rPr>
          <w:color w:val="000000"/>
        </w:rPr>
        <w:t xml:space="preserve">. </w:t>
      </w:r>
      <w:r w:rsidR="00621628">
        <w:rPr>
          <w:color w:val="000000"/>
        </w:rPr>
        <w:t>This</w:t>
      </w:r>
      <w:r w:rsidR="00046F79" w:rsidRPr="00635ABB">
        <w:rPr>
          <w:color w:val="000000"/>
        </w:rPr>
        <w:t xml:space="preserve"> increases the potential for cancer cases to appear to cluster in a neighborhood.</w:t>
      </w:r>
    </w:p>
    <w:p w:rsidR="00CC231F" w:rsidRDefault="00CC231F" w:rsidP="00AC1779">
      <w:pPr>
        <w:spacing w:line="276" w:lineRule="auto"/>
        <w:rPr>
          <w:color w:val="000000"/>
        </w:rPr>
      </w:pPr>
    </w:p>
    <w:p w:rsidR="00F87FD5" w:rsidRDefault="00F87FD5" w:rsidP="007D72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color w:val="000000"/>
        </w:rPr>
      </w:pPr>
      <w:r w:rsidRPr="00080812">
        <w:t xml:space="preserve">The American Cancer Society estimates that there </w:t>
      </w:r>
      <w:r>
        <w:t>will be</w:t>
      </w:r>
      <w:r w:rsidRPr="00080812">
        <w:t xml:space="preserve"> 1,665,540 new cases of invasive cancer in 2014 with an estimated 585,720 deaths</w:t>
      </w:r>
      <w:r>
        <w:t xml:space="preserve"> in the United States</w:t>
      </w:r>
      <w:r w:rsidRPr="00080812">
        <w:t xml:space="preserve">. In </w:t>
      </w:r>
      <w:r>
        <w:t>NH,</w:t>
      </w:r>
      <w:r w:rsidRPr="00080812">
        <w:t xml:space="preserve"> it is estimated that there </w:t>
      </w:r>
      <w:r>
        <w:t>will be</w:t>
      </w:r>
      <w:r w:rsidRPr="00080812">
        <w:t xml:space="preserve"> 8,450 new cases and 2,670 deaths in 2014.</w:t>
      </w:r>
      <w:r>
        <w:rPr>
          <w:rStyle w:val="FootnoteReference"/>
        </w:rPr>
        <w:footnoteReference w:id="1"/>
      </w:r>
      <w:r w:rsidRPr="00080812">
        <w:t xml:space="preserve"> It has been further estimated that there are approximately 72,000 persons living in NH </w:t>
      </w:r>
      <w:r>
        <w:t xml:space="preserve">(2014) </w:t>
      </w:r>
      <w:r w:rsidRPr="00080812">
        <w:t>with cancer.</w:t>
      </w:r>
      <w:r>
        <w:rPr>
          <w:rStyle w:val="FootnoteReference"/>
        </w:rPr>
        <w:footnoteReference w:id="2"/>
      </w:r>
      <w:r w:rsidRPr="00080812">
        <w:t xml:space="preserve">  </w:t>
      </w:r>
      <w:r>
        <w:t>Overall i</w:t>
      </w:r>
      <w:r w:rsidRPr="00080812">
        <w:t xml:space="preserve">n </w:t>
      </w:r>
      <w:r>
        <w:t>NH</w:t>
      </w:r>
      <w:r w:rsidRPr="00080812">
        <w:t>,</w:t>
      </w:r>
      <w:r>
        <w:t xml:space="preserve"> cancer </w:t>
      </w:r>
      <w:r w:rsidRPr="00080812">
        <w:t xml:space="preserve">incidence </w:t>
      </w:r>
      <w:r>
        <w:t>and mortality has been decreasing over the last several years.</w:t>
      </w:r>
    </w:p>
    <w:p w:rsidR="00F87FD5" w:rsidRPr="00635ABB" w:rsidRDefault="00F87FD5" w:rsidP="00AC1779">
      <w:pPr>
        <w:spacing w:line="276" w:lineRule="auto"/>
        <w:rPr>
          <w:color w:val="000000"/>
        </w:rPr>
      </w:pPr>
    </w:p>
    <w:p w:rsidR="007A6035" w:rsidRPr="00635ABB" w:rsidRDefault="007A6035" w:rsidP="00AC1779">
      <w:pPr>
        <w:spacing w:line="276" w:lineRule="auto"/>
        <w:rPr>
          <w:color w:val="000000"/>
        </w:rPr>
      </w:pPr>
      <w:r w:rsidRPr="00635ABB">
        <w:rPr>
          <w:color w:val="000000"/>
        </w:rPr>
        <w:t>It’s important to know that cancer is not just one disease; it is at least 100 different but related diseases</w:t>
      </w:r>
      <w:r w:rsidR="00621628">
        <w:rPr>
          <w:color w:val="000000"/>
        </w:rPr>
        <w:t>, e</w:t>
      </w:r>
      <w:r w:rsidR="00CC231F" w:rsidRPr="00635ABB">
        <w:rPr>
          <w:color w:val="000000"/>
        </w:rPr>
        <w:t>ach associate</w:t>
      </w:r>
      <w:r w:rsidR="00046F79">
        <w:rPr>
          <w:color w:val="000000"/>
        </w:rPr>
        <w:t>d</w:t>
      </w:r>
      <w:r w:rsidR="00CC231F" w:rsidRPr="00635ABB">
        <w:rPr>
          <w:color w:val="000000"/>
        </w:rPr>
        <w:t xml:space="preserve"> with a specific set of causal factor</w:t>
      </w:r>
      <w:r w:rsidR="00046F79">
        <w:rPr>
          <w:color w:val="000000"/>
        </w:rPr>
        <w:t>s</w:t>
      </w:r>
      <w:r w:rsidR="00CC231F" w:rsidRPr="00635ABB">
        <w:rPr>
          <w:color w:val="000000"/>
        </w:rPr>
        <w:t>.</w:t>
      </w:r>
      <w:r w:rsidR="00285EEF" w:rsidRPr="00635ABB">
        <w:rPr>
          <w:color w:val="000000"/>
        </w:rPr>
        <w:t xml:space="preserve"> </w:t>
      </w:r>
      <w:r w:rsidR="00621628">
        <w:rPr>
          <w:color w:val="000000"/>
        </w:rPr>
        <w:t>In addition, a</w:t>
      </w:r>
      <w:r w:rsidR="00285EEF" w:rsidRPr="00635ABB">
        <w:t xml:space="preserve"> latency period of twenty years or more is often encountered between the time of exposure to a cancer-causing substance and the diagnosis of cancer.  This latency period may further obscure factors that may be involved in the disease, and in some cases historical information about exposure</w:t>
      </w:r>
      <w:r w:rsidR="00520814" w:rsidRPr="00635ABB">
        <w:t xml:space="preserve"> to cancer-causing substances is simply not available. </w:t>
      </w:r>
      <w:r w:rsidR="00621628" w:rsidRPr="00635ABB">
        <w:rPr>
          <w:color w:val="000000"/>
        </w:rPr>
        <w:t>Th</w:t>
      </w:r>
      <w:r w:rsidR="00621628">
        <w:rPr>
          <w:color w:val="000000"/>
        </w:rPr>
        <w:t>ese factors</w:t>
      </w:r>
      <w:r w:rsidR="00621628" w:rsidRPr="00635ABB">
        <w:rPr>
          <w:color w:val="000000"/>
        </w:rPr>
        <w:t xml:space="preserve"> make it difficult, if not impossible, to pinpoint underlying causal factors for a variety of cancers.</w:t>
      </w:r>
    </w:p>
    <w:p w:rsidR="00C23E3C" w:rsidRPr="00635ABB" w:rsidRDefault="00C23E3C" w:rsidP="00AC1779">
      <w:pPr>
        <w:spacing w:line="276" w:lineRule="auto"/>
        <w:rPr>
          <w:color w:val="000000"/>
        </w:rPr>
      </w:pPr>
    </w:p>
    <w:p w:rsidR="007A6035" w:rsidRPr="00635ABB" w:rsidRDefault="007A6035" w:rsidP="00AC1779">
      <w:pPr>
        <w:spacing w:line="276" w:lineRule="auto"/>
      </w:pPr>
      <w:r w:rsidRPr="00635ABB">
        <w:t xml:space="preserve">The Centers for Disease </w:t>
      </w:r>
      <w:r w:rsidRPr="0018006F">
        <w:t xml:space="preserve">Control and Prevention (CDC) </w:t>
      </w:r>
      <w:r w:rsidR="00046F79">
        <w:t>defines</w:t>
      </w:r>
      <w:r w:rsidR="00046F79" w:rsidRPr="0018006F">
        <w:t xml:space="preserve"> </w:t>
      </w:r>
      <w:r w:rsidRPr="0018006F">
        <w:t xml:space="preserve">a cancer cluster </w:t>
      </w:r>
      <w:r w:rsidR="00046F79">
        <w:t>as</w:t>
      </w:r>
      <w:r w:rsidR="00046F79" w:rsidRPr="0018006F">
        <w:t xml:space="preserve"> </w:t>
      </w:r>
      <w:r w:rsidR="00046F79">
        <w:t>“</w:t>
      </w:r>
      <w:r w:rsidRPr="0018006F">
        <w:t>a greater than expected number of cancer cases occurring within a group of people, in a geographic area, or over a period of time</w:t>
      </w:r>
      <w:r w:rsidR="00046F79">
        <w:t>”</w:t>
      </w:r>
      <w:r w:rsidRPr="0018006F">
        <w:t>. According</w:t>
      </w:r>
      <w:r w:rsidRPr="00635ABB">
        <w:t xml:space="preserve"> to the National Cancer Institute</w:t>
      </w:r>
      <w:r w:rsidR="00046F79">
        <w:t xml:space="preserve"> (NCI)</w:t>
      </w:r>
      <w:r w:rsidRPr="00635ABB">
        <w:t>, a suspected cancer cluster is more likely to be a true cluster, rather than a coincidence, if it involves:</w:t>
      </w:r>
    </w:p>
    <w:p w:rsidR="007A6035" w:rsidRPr="00635ABB" w:rsidRDefault="007A6035" w:rsidP="00AC1779">
      <w:pPr>
        <w:spacing w:line="276" w:lineRule="auto"/>
      </w:pPr>
    </w:p>
    <w:p w:rsidR="007A6035" w:rsidRPr="00635ABB" w:rsidRDefault="007A6035" w:rsidP="00AC1779">
      <w:pPr>
        <w:spacing w:line="276" w:lineRule="auto"/>
      </w:pPr>
      <w:r w:rsidRPr="00635ABB">
        <w:t>1) A large number of cases of a similar type of cancer, rather than several different types;</w:t>
      </w:r>
      <w:r w:rsidRPr="00635ABB">
        <w:br/>
        <w:t>2) A rare type of cancer, rather than common types; and</w:t>
      </w:r>
      <w:r w:rsidRPr="00635ABB">
        <w:br/>
        <w:t>3) An increased number of cases of a certain type of cancer in an age group that is not usually affected by that type of cancer.</w:t>
      </w:r>
    </w:p>
    <w:p w:rsidR="00520814" w:rsidRPr="00635ABB" w:rsidRDefault="00520814" w:rsidP="00AC1779">
      <w:pPr>
        <w:spacing w:line="276" w:lineRule="auto"/>
        <w:rPr>
          <w:color w:val="000000"/>
        </w:rPr>
      </w:pPr>
    </w:p>
    <w:p w:rsidR="00520814" w:rsidRPr="00635ABB" w:rsidRDefault="0018006F" w:rsidP="00AC1779">
      <w:pPr>
        <w:spacing w:line="276" w:lineRule="auto"/>
      </w:pPr>
      <w:r>
        <w:rPr>
          <w:bCs/>
          <w:iCs/>
        </w:rPr>
        <w:t>The</w:t>
      </w:r>
      <w:r w:rsidR="00520814" w:rsidRPr="00635ABB">
        <w:t xml:space="preserve"> number of cases included in a cluster—and calculation of the expected number of cases—will depend on how we define the time period over which the cases occurred. The selection of a time period may “create” or “obscure” a cancer cluster. If the time period is too wide, we may obscure a cluster by “diluting” the cases over time.  Conversely, if the time period is too narrow, we may artificially “create” a cluster. </w:t>
      </w:r>
    </w:p>
    <w:p w:rsidR="00520814" w:rsidRPr="00635ABB" w:rsidRDefault="00520814" w:rsidP="00AC1779">
      <w:pPr>
        <w:spacing w:line="276" w:lineRule="auto"/>
      </w:pPr>
    </w:p>
    <w:p w:rsidR="00A92060" w:rsidRPr="00635ABB" w:rsidRDefault="00C23E3C" w:rsidP="00AC1779">
      <w:pPr>
        <w:spacing w:line="276" w:lineRule="auto"/>
        <w:rPr>
          <w:color w:val="000000"/>
        </w:rPr>
      </w:pPr>
      <w:r w:rsidRPr="00635ABB">
        <w:rPr>
          <w:color w:val="000000"/>
        </w:rPr>
        <w:t>The objective of this</w:t>
      </w:r>
      <w:r w:rsidR="00046F79">
        <w:rPr>
          <w:color w:val="000000"/>
        </w:rPr>
        <w:t xml:space="preserve"> </w:t>
      </w:r>
      <w:r w:rsidR="009679CA">
        <w:rPr>
          <w:color w:val="000000"/>
        </w:rPr>
        <w:t>analysis</w:t>
      </w:r>
      <w:r w:rsidR="009679CA" w:rsidRPr="00635ABB">
        <w:rPr>
          <w:color w:val="000000"/>
        </w:rPr>
        <w:t xml:space="preserve"> </w:t>
      </w:r>
      <w:r w:rsidR="00046F79">
        <w:rPr>
          <w:color w:val="000000"/>
        </w:rPr>
        <w:t>was</w:t>
      </w:r>
      <w:r w:rsidR="00046F79" w:rsidRPr="00635ABB">
        <w:rPr>
          <w:color w:val="000000"/>
        </w:rPr>
        <w:t xml:space="preserve"> </w:t>
      </w:r>
      <w:r w:rsidRPr="00635ABB">
        <w:rPr>
          <w:color w:val="000000"/>
        </w:rPr>
        <w:t xml:space="preserve">to determine if the rates of cancers in </w:t>
      </w:r>
      <w:r w:rsidR="00046F79">
        <w:rPr>
          <w:color w:val="000000"/>
        </w:rPr>
        <w:t>Andover</w:t>
      </w:r>
      <w:r w:rsidRPr="00635ABB">
        <w:rPr>
          <w:color w:val="000000"/>
        </w:rPr>
        <w:t xml:space="preserve"> </w:t>
      </w:r>
      <w:r w:rsidR="00046F79">
        <w:rPr>
          <w:color w:val="000000"/>
        </w:rPr>
        <w:t>were</w:t>
      </w:r>
      <w:r w:rsidR="00046F79" w:rsidRPr="00635ABB">
        <w:rPr>
          <w:color w:val="000000"/>
        </w:rPr>
        <w:t xml:space="preserve"> </w:t>
      </w:r>
      <w:r w:rsidR="00A92060" w:rsidRPr="00635ABB">
        <w:rPr>
          <w:color w:val="000000"/>
        </w:rPr>
        <w:t xml:space="preserve">in excess of what would be </w:t>
      </w:r>
      <w:r w:rsidRPr="00635ABB">
        <w:rPr>
          <w:color w:val="000000"/>
        </w:rPr>
        <w:t xml:space="preserve">expected for that community using data for the </w:t>
      </w:r>
      <w:r w:rsidR="009679CA">
        <w:rPr>
          <w:color w:val="000000"/>
        </w:rPr>
        <w:t xml:space="preserve">state of </w:t>
      </w:r>
      <w:r w:rsidRPr="00635ABB">
        <w:rPr>
          <w:color w:val="000000"/>
        </w:rPr>
        <w:t xml:space="preserve">NH as a comparison. </w:t>
      </w:r>
    </w:p>
    <w:p w:rsidR="00B223DB" w:rsidRDefault="00B223DB">
      <w:pPr>
        <w:spacing w:after="200" w:line="276" w:lineRule="auto"/>
        <w:rPr>
          <w:color w:val="000000"/>
        </w:rPr>
      </w:pPr>
      <w:r>
        <w:rPr>
          <w:color w:val="000000"/>
        </w:rPr>
        <w:br w:type="page"/>
      </w:r>
    </w:p>
    <w:p w:rsidR="00C465EA" w:rsidRDefault="00B223DB" w:rsidP="00AC1779">
      <w:pPr>
        <w:pStyle w:val="ListParagraph"/>
        <w:spacing w:line="276" w:lineRule="auto"/>
        <w:ind w:left="0"/>
        <w:rPr>
          <w:color w:val="000000"/>
        </w:rPr>
      </w:pPr>
      <w:r w:rsidRPr="00073AD7">
        <w:rPr>
          <w:b/>
          <w:color w:val="000000"/>
        </w:rPr>
        <w:t>METHODS</w:t>
      </w:r>
      <w:r w:rsidRPr="00635ABB">
        <w:rPr>
          <w:color w:val="000000"/>
        </w:rPr>
        <w:t>:</w:t>
      </w:r>
    </w:p>
    <w:p w:rsidR="00B223DB" w:rsidRPr="00635ABB" w:rsidRDefault="00B223DB" w:rsidP="00AC1779">
      <w:pPr>
        <w:pStyle w:val="ListParagraph"/>
        <w:spacing w:line="276" w:lineRule="auto"/>
        <w:ind w:left="0"/>
        <w:rPr>
          <w:color w:val="000000"/>
        </w:rPr>
      </w:pPr>
    </w:p>
    <w:p w:rsidR="003E55FB" w:rsidRPr="00635ABB" w:rsidRDefault="00A92060" w:rsidP="00AC1779">
      <w:pPr>
        <w:spacing w:line="276" w:lineRule="auto"/>
        <w:rPr>
          <w:rFonts w:eastAsiaTheme="minorHAnsi"/>
          <w:color w:val="000000"/>
        </w:rPr>
      </w:pPr>
      <w:r w:rsidRPr="00635ABB">
        <w:rPr>
          <w:color w:val="000000"/>
        </w:rPr>
        <w:t xml:space="preserve">Data source: </w:t>
      </w:r>
      <w:r w:rsidR="00092B88">
        <w:rPr>
          <w:color w:val="000000"/>
        </w:rPr>
        <w:t xml:space="preserve">We analyzed data collected by </w:t>
      </w:r>
      <w:r w:rsidR="007D2C89">
        <w:rPr>
          <w:color w:val="000000"/>
        </w:rPr>
        <w:t>the NH</w:t>
      </w:r>
      <w:r w:rsidR="00C465EA" w:rsidRPr="00635ABB">
        <w:rPr>
          <w:color w:val="000000"/>
        </w:rPr>
        <w:t xml:space="preserve"> State Cancer Registry </w:t>
      </w:r>
      <w:r w:rsidR="00B1164A" w:rsidRPr="00635ABB">
        <w:rPr>
          <w:color w:val="000000"/>
        </w:rPr>
        <w:t>(NHSCR)</w:t>
      </w:r>
      <w:r w:rsidR="00092B88">
        <w:rPr>
          <w:color w:val="000000"/>
        </w:rPr>
        <w:t>, which are certified as being of high</w:t>
      </w:r>
      <w:r w:rsidR="00B1164A" w:rsidRPr="00635ABB">
        <w:rPr>
          <w:color w:val="000000"/>
        </w:rPr>
        <w:t xml:space="preserve"> </w:t>
      </w:r>
      <w:r w:rsidR="00C23E3C" w:rsidRPr="00635ABB">
        <w:rPr>
          <w:rFonts w:eastAsiaTheme="minorHAnsi"/>
          <w:color w:val="000000"/>
        </w:rPr>
        <w:t>quality</w:t>
      </w:r>
      <w:r w:rsidR="00092B88">
        <w:rPr>
          <w:rFonts w:eastAsiaTheme="minorHAnsi"/>
          <w:color w:val="000000"/>
        </w:rPr>
        <w:t xml:space="preserve">, and are </w:t>
      </w:r>
      <w:r w:rsidR="00C23E3C" w:rsidRPr="00635ABB">
        <w:rPr>
          <w:rFonts w:eastAsiaTheme="minorHAnsi"/>
          <w:color w:val="000000"/>
        </w:rPr>
        <w:t xml:space="preserve">collected through rigorous quality checking from various NH hospitals, clinics, </w:t>
      </w:r>
      <w:r w:rsidR="00635ABB">
        <w:rPr>
          <w:rFonts w:eastAsiaTheme="minorHAnsi"/>
          <w:color w:val="000000"/>
        </w:rPr>
        <w:t xml:space="preserve">and </w:t>
      </w:r>
      <w:r w:rsidR="009679CA">
        <w:rPr>
          <w:rFonts w:eastAsiaTheme="minorHAnsi"/>
          <w:color w:val="000000"/>
        </w:rPr>
        <w:t>physicians</w:t>
      </w:r>
      <w:r w:rsidR="00DA3A61">
        <w:rPr>
          <w:rFonts w:eastAsiaTheme="minorHAnsi"/>
          <w:color w:val="000000"/>
        </w:rPr>
        <w:t>’</w:t>
      </w:r>
      <w:r w:rsidR="009679CA">
        <w:rPr>
          <w:rFonts w:eastAsiaTheme="minorHAnsi"/>
          <w:color w:val="000000"/>
        </w:rPr>
        <w:t xml:space="preserve"> </w:t>
      </w:r>
      <w:r w:rsidR="0018006F">
        <w:rPr>
          <w:rFonts w:eastAsiaTheme="minorHAnsi"/>
          <w:color w:val="000000"/>
        </w:rPr>
        <w:t>office</w:t>
      </w:r>
      <w:r w:rsidR="00092B88">
        <w:rPr>
          <w:rFonts w:eastAsiaTheme="minorHAnsi"/>
          <w:color w:val="000000"/>
        </w:rPr>
        <w:t>s</w:t>
      </w:r>
      <w:r w:rsidR="00635ABB">
        <w:rPr>
          <w:rFonts w:eastAsiaTheme="minorHAnsi"/>
          <w:color w:val="000000"/>
        </w:rPr>
        <w:t xml:space="preserve">. </w:t>
      </w:r>
      <w:r w:rsidR="00092B88">
        <w:rPr>
          <w:rFonts w:eastAsiaTheme="minorHAnsi"/>
          <w:color w:val="000000"/>
        </w:rPr>
        <w:t xml:space="preserve">The NHSCR </w:t>
      </w:r>
      <w:r w:rsidR="00C23E3C" w:rsidRPr="00635ABB">
        <w:rPr>
          <w:rFonts w:eastAsiaTheme="minorHAnsi"/>
          <w:color w:val="000000"/>
        </w:rPr>
        <w:t xml:space="preserve">also receives </w:t>
      </w:r>
      <w:r w:rsidR="00092B88">
        <w:rPr>
          <w:rFonts w:eastAsiaTheme="minorHAnsi"/>
          <w:color w:val="000000"/>
        </w:rPr>
        <w:t xml:space="preserve">cancer </w:t>
      </w:r>
      <w:r w:rsidR="00C23E3C" w:rsidRPr="00635ABB">
        <w:rPr>
          <w:rFonts w:eastAsiaTheme="minorHAnsi"/>
          <w:color w:val="000000"/>
        </w:rPr>
        <w:t>information from neighboring states</w:t>
      </w:r>
      <w:r w:rsidR="00635ABB">
        <w:rPr>
          <w:rFonts w:eastAsiaTheme="minorHAnsi"/>
          <w:color w:val="000000"/>
        </w:rPr>
        <w:t xml:space="preserve"> through </w:t>
      </w:r>
      <w:r w:rsidR="00092B88">
        <w:rPr>
          <w:rFonts w:eastAsiaTheme="minorHAnsi"/>
          <w:color w:val="000000"/>
        </w:rPr>
        <w:t xml:space="preserve">a </w:t>
      </w:r>
      <w:r w:rsidR="00635ABB">
        <w:rPr>
          <w:rFonts w:eastAsiaTheme="minorHAnsi"/>
          <w:color w:val="000000"/>
        </w:rPr>
        <w:t>data exchange agreement</w:t>
      </w:r>
      <w:r w:rsidR="00C23E3C" w:rsidRPr="00635ABB">
        <w:rPr>
          <w:rFonts w:eastAsiaTheme="minorHAnsi"/>
          <w:color w:val="000000"/>
        </w:rPr>
        <w:t xml:space="preserve">. </w:t>
      </w:r>
      <w:r w:rsidR="00092B88">
        <w:rPr>
          <w:rFonts w:eastAsiaTheme="minorHAnsi"/>
          <w:color w:val="000000"/>
        </w:rPr>
        <w:t xml:space="preserve">The </w:t>
      </w:r>
      <w:r w:rsidRPr="00635ABB">
        <w:rPr>
          <w:rFonts w:eastAsiaTheme="minorHAnsi"/>
          <w:color w:val="000000"/>
        </w:rPr>
        <w:t xml:space="preserve">NHSCR maintains statistics on incident </w:t>
      </w:r>
      <w:r w:rsidR="009679CA" w:rsidRPr="00635ABB">
        <w:rPr>
          <w:rFonts w:eastAsiaTheme="minorHAnsi"/>
          <w:color w:val="000000"/>
        </w:rPr>
        <w:t xml:space="preserve">cancer </w:t>
      </w:r>
      <w:r w:rsidRPr="00635ABB">
        <w:rPr>
          <w:rFonts w:eastAsiaTheme="minorHAnsi"/>
          <w:color w:val="000000"/>
        </w:rPr>
        <w:t xml:space="preserve">cases </w:t>
      </w:r>
      <w:r w:rsidR="009679CA">
        <w:rPr>
          <w:rFonts w:eastAsiaTheme="minorHAnsi"/>
          <w:color w:val="000000"/>
        </w:rPr>
        <w:t>among</w:t>
      </w:r>
      <w:r w:rsidR="009679CA" w:rsidRPr="00635ABB">
        <w:rPr>
          <w:rFonts w:eastAsiaTheme="minorHAnsi"/>
          <w:color w:val="000000"/>
        </w:rPr>
        <w:t xml:space="preserve"> </w:t>
      </w:r>
      <w:r w:rsidR="00635ABB">
        <w:rPr>
          <w:rFonts w:eastAsiaTheme="minorHAnsi"/>
          <w:color w:val="000000"/>
        </w:rPr>
        <w:t xml:space="preserve">all </w:t>
      </w:r>
      <w:r w:rsidR="00046F79">
        <w:rPr>
          <w:rFonts w:eastAsiaTheme="minorHAnsi"/>
          <w:color w:val="000000"/>
        </w:rPr>
        <w:t>NH</w:t>
      </w:r>
      <w:r w:rsidRPr="00635ABB">
        <w:rPr>
          <w:rFonts w:eastAsiaTheme="minorHAnsi"/>
          <w:color w:val="000000"/>
        </w:rPr>
        <w:t xml:space="preserve"> residents. </w:t>
      </w:r>
    </w:p>
    <w:p w:rsidR="004279EB" w:rsidRDefault="004279EB" w:rsidP="00AC1779">
      <w:pPr>
        <w:spacing w:line="276" w:lineRule="auto"/>
        <w:rPr>
          <w:rFonts w:eastAsiaTheme="minorHAnsi"/>
          <w:color w:val="000000"/>
        </w:rPr>
      </w:pPr>
    </w:p>
    <w:p w:rsidR="00520814" w:rsidRPr="00635ABB" w:rsidRDefault="00A92060" w:rsidP="00AC1779">
      <w:pPr>
        <w:spacing w:line="276" w:lineRule="auto"/>
        <w:rPr>
          <w:rFonts w:eastAsiaTheme="minorHAnsi"/>
          <w:color w:val="000000"/>
        </w:rPr>
      </w:pPr>
      <w:r w:rsidRPr="00635ABB">
        <w:rPr>
          <w:rFonts w:eastAsiaTheme="minorHAnsi"/>
          <w:color w:val="000000"/>
        </w:rPr>
        <w:t>Geographic area</w:t>
      </w:r>
      <w:r w:rsidR="009679CA">
        <w:rPr>
          <w:rFonts w:eastAsiaTheme="minorHAnsi"/>
          <w:color w:val="000000"/>
        </w:rPr>
        <w:t xml:space="preserve"> and population</w:t>
      </w:r>
      <w:r w:rsidRPr="00635ABB">
        <w:rPr>
          <w:rFonts w:eastAsiaTheme="minorHAnsi"/>
          <w:color w:val="000000"/>
        </w:rPr>
        <w:t xml:space="preserve">: </w:t>
      </w:r>
      <w:r w:rsidR="00D61358" w:rsidRPr="00635ABB">
        <w:rPr>
          <w:rFonts w:eastAsiaTheme="minorHAnsi"/>
          <w:color w:val="000000"/>
        </w:rPr>
        <w:t>As w</w:t>
      </w:r>
      <w:r w:rsidR="00D61358" w:rsidRPr="00635ABB">
        <w:rPr>
          <w:color w:val="000000"/>
        </w:rPr>
        <w:t xml:space="preserve">e </w:t>
      </w:r>
      <w:r w:rsidR="00092B88">
        <w:rPr>
          <w:color w:val="000000"/>
        </w:rPr>
        <w:t>did</w:t>
      </w:r>
      <w:r w:rsidR="00092B88" w:rsidRPr="00635ABB">
        <w:rPr>
          <w:color w:val="000000"/>
        </w:rPr>
        <w:t xml:space="preserve"> </w:t>
      </w:r>
      <w:r w:rsidR="00D61358" w:rsidRPr="00635ABB">
        <w:rPr>
          <w:color w:val="000000"/>
        </w:rPr>
        <w:t xml:space="preserve">not have a way to </w:t>
      </w:r>
      <w:r w:rsidR="00092B88">
        <w:rPr>
          <w:color w:val="000000"/>
        </w:rPr>
        <w:t>determine</w:t>
      </w:r>
      <w:r w:rsidR="00092B88" w:rsidRPr="00635ABB">
        <w:rPr>
          <w:color w:val="000000"/>
        </w:rPr>
        <w:t xml:space="preserve"> </w:t>
      </w:r>
      <w:r w:rsidR="00D61358" w:rsidRPr="00635ABB">
        <w:rPr>
          <w:color w:val="000000"/>
        </w:rPr>
        <w:t xml:space="preserve">whether people in the </w:t>
      </w:r>
      <w:r w:rsidR="00092B88">
        <w:rPr>
          <w:color w:val="000000"/>
        </w:rPr>
        <w:t>NHSCR</w:t>
      </w:r>
      <w:r w:rsidR="00092B88" w:rsidRPr="00635ABB">
        <w:rPr>
          <w:color w:val="000000"/>
        </w:rPr>
        <w:t xml:space="preserve"> </w:t>
      </w:r>
      <w:r w:rsidR="00092B88">
        <w:rPr>
          <w:color w:val="000000"/>
        </w:rPr>
        <w:t>were</w:t>
      </w:r>
      <w:r w:rsidR="00092B88" w:rsidRPr="00635ABB">
        <w:rPr>
          <w:color w:val="000000"/>
        </w:rPr>
        <w:t xml:space="preserve"> </w:t>
      </w:r>
      <w:r w:rsidR="00092B88">
        <w:rPr>
          <w:color w:val="000000"/>
        </w:rPr>
        <w:t>within</w:t>
      </w:r>
      <w:r w:rsidR="00092B88" w:rsidRPr="00635ABB">
        <w:rPr>
          <w:color w:val="000000"/>
        </w:rPr>
        <w:t xml:space="preserve"> </w:t>
      </w:r>
      <w:r w:rsidR="00D61358" w:rsidRPr="00635ABB">
        <w:rPr>
          <w:color w:val="000000"/>
        </w:rPr>
        <w:t>the Andover Village Water District</w:t>
      </w:r>
      <w:r w:rsidR="00D61358" w:rsidRPr="00635ABB">
        <w:rPr>
          <w:rFonts w:eastAsiaTheme="minorHAnsi"/>
          <w:color w:val="000000"/>
        </w:rPr>
        <w:t xml:space="preserve">, we decided to </w:t>
      </w:r>
      <w:r w:rsidR="00092B88">
        <w:rPr>
          <w:rFonts w:eastAsiaTheme="minorHAnsi"/>
          <w:color w:val="000000"/>
        </w:rPr>
        <w:t>analyze data for the entire town of</w:t>
      </w:r>
      <w:r w:rsidR="00D61358" w:rsidRPr="00635ABB">
        <w:rPr>
          <w:rFonts w:eastAsiaTheme="minorHAnsi"/>
          <w:color w:val="000000"/>
        </w:rPr>
        <w:t xml:space="preserve"> Andover. As per </w:t>
      </w:r>
      <w:r w:rsidR="00092B88">
        <w:rPr>
          <w:rFonts w:eastAsiaTheme="minorHAnsi"/>
          <w:color w:val="000000"/>
        </w:rPr>
        <w:t xml:space="preserve">the </w:t>
      </w:r>
      <w:r w:rsidR="00D61358" w:rsidRPr="00635ABB">
        <w:rPr>
          <w:rFonts w:eastAsiaTheme="minorHAnsi"/>
          <w:color w:val="000000"/>
        </w:rPr>
        <w:t>2010 census</w:t>
      </w:r>
      <w:r w:rsidR="00520814" w:rsidRPr="00635ABB">
        <w:rPr>
          <w:rFonts w:eastAsiaTheme="minorHAnsi"/>
          <w:color w:val="000000"/>
        </w:rPr>
        <w:t>,</w:t>
      </w:r>
      <w:r w:rsidR="00D61358" w:rsidRPr="00635ABB">
        <w:rPr>
          <w:rFonts w:eastAsiaTheme="minorHAnsi"/>
          <w:color w:val="000000"/>
        </w:rPr>
        <w:t xml:space="preserve"> </w:t>
      </w:r>
      <w:r w:rsidR="007D2C89">
        <w:rPr>
          <w:rFonts w:eastAsiaTheme="minorHAnsi"/>
          <w:color w:val="000000"/>
        </w:rPr>
        <w:t xml:space="preserve">Andover’s </w:t>
      </w:r>
      <w:r w:rsidR="007D2C89" w:rsidRPr="00635ABB">
        <w:rPr>
          <w:rFonts w:eastAsiaTheme="minorHAnsi"/>
          <w:color w:val="000000"/>
        </w:rPr>
        <w:t>population</w:t>
      </w:r>
      <w:r w:rsidR="00D61358" w:rsidRPr="00635ABB">
        <w:rPr>
          <w:rFonts w:eastAsiaTheme="minorHAnsi"/>
          <w:color w:val="000000"/>
        </w:rPr>
        <w:t xml:space="preserve"> was 2,371 with a median a</w:t>
      </w:r>
      <w:r w:rsidR="00A37DA6" w:rsidRPr="00635ABB">
        <w:rPr>
          <w:rFonts w:eastAsiaTheme="minorHAnsi"/>
          <w:color w:val="000000"/>
        </w:rPr>
        <w:t>ge of</w:t>
      </w:r>
      <w:r w:rsidR="00D61358" w:rsidRPr="00635ABB">
        <w:rPr>
          <w:rFonts w:eastAsiaTheme="minorHAnsi"/>
          <w:color w:val="000000"/>
        </w:rPr>
        <w:t xml:space="preserve"> 48.6 </w:t>
      </w:r>
      <w:r w:rsidR="00D61358" w:rsidRPr="00635ABB">
        <w:rPr>
          <w:rFonts w:eastAsiaTheme="minorHAnsi"/>
          <w:color w:val="000000"/>
          <w:u w:val="single"/>
        </w:rPr>
        <w:t>+</w:t>
      </w:r>
      <w:r w:rsidR="00D61358" w:rsidRPr="00635ABB">
        <w:rPr>
          <w:rFonts w:eastAsiaTheme="minorHAnsi"/>
          <w:color w:val="000000"/>
        </w:rPr>
        <w:t xml:space="preserve"> 2.6 years</w:t>
      </w:r>
      <w:r w:rsidR="00A37DA6" w:rsidRPr="00635ABB">
        <w:rPr>
          <w:rFonts w:eastAsiaTheme="minorHAnsi"/>
          <w:color w:val="000000"/>
        </w:rPr>
        <w:t xml:space="preserve"> which was</w:t>
      </w:r>
      <w:r w:rsidR="00D61358" w:rsidRPr="00635ABB">
        <w:rPr>
          <w:rFonts w:eastAsiaTheme="minorHAnsi"/>
          <w:color w:val="000000"/>
        </w:rPr>
        <w:t xml:space="preserve"> significantly higher than the NH </w:t>
      </w:r>
      <w:r w:rsidR="00A37DA6" w:rsidRPr="00635ABB">
        <w:rPr>
          <w:rFonts w:eastAsiaTheme="minorHAnsi"/>
          <w:color w:val="000000"/>
        </w:rPr>
        <w:t xml:space="preserve">population 41.1 </w:t>
      </w:r>
      <w:r w:rsidR="00A37DA6" w:rsidRPr="00635ABB">
        <w:rPr>
          <w:rFonts w:eastAsiaTheme="minorHAnsi"/>
          <w:color w:val="000000"/>
          <w:u w:val="single"/>
        </w:rPr>
        <w:t>+</w:t>
      </w:r>
      <w:r w:rsidR="00A37DA6" w:rsidRPr="00635ABB">
        <w:rPr>
          <w:rFonts w:eastAsiaTheme="minorHAnsi"/>
          <w:color w:val="000000"/>
        </w:rPr>
        <w:t xml:space="preserve"> 0.1 years.</w:t>
      </w:r>
      <w:r w:rsidR="007A6035" w:rsidRPr="00635ABB">
        <w:rPr>
          <w:rFonts w:eastAsiaTheme="minorHAnsi"/>
          <w:color w:val="000000"/>
        </w:rPr>
        <w:t xml:space="preserve"> Of the total Andover population</w:t>
      </w:r>
      <w:r w:rsidR="00092B88">
        <w:rPr>
          <w:rFonts w:eastAsiaTheme="minorHAnsi"/>
          <w:color w:val="000000"/>
        </w:rPr>
        <w:t>,</w:t>
      </w:r>
      <w:r w:rsidR="007A6035" w:rsidRPr="00635ABB">
        <w:rPr>
          <w:rFonts w:eastAsiaTheme="minorHAnsi"/>
          <w:color w:val="000000"/>
        </w:rPr>
        <w:t xml:space="preserve"> 96.5% </w:t>
      </w:r>
      <w:r w:rsidR="00092B88">
        <w:rPr>
          <w:rFonts w:eastAsiaTheme="minorHAnsi"/>
          <w:color w:val="000000"/>
        </w:rPr>
        <w:t>of residents are</w:t>
      </w:r>
      <w:r w:rsidR="00092B88" w:rsidRPr="00635ABB">
        <w:rPr>
          <w:rFonts w:eastAsiaTheme="minorHAnsi"/>
          <w:color w:val="000000"/>
        </w:rPr>
        <w:t xml:space="preserve"> </w:t>
      </w:r>
      <w:r w:rsidR="007A6035" w:rsidRPr="00635ABB">
        <w:rPr>
          <w:rFonts w:eastAsiaTheme="minorHAnsi"/>
          <w:color w:val="000000"/>
        </w:rPr>
        <w:t>white</w:t>
      </w:r>
      <w:r w:rsidR="00092B88">
        <w:rPr>
          <w:rFonts w:eastAsiaTheme="minorHAnsi"/>
          <w:color w:val="000000"/>
        </w:rPr>
        <w:t>,</w:t>
      </w:r>
      <w:r w:rsidR="007A6035" w:rsidRPr="00635ABB">
        <w:rPr>
          <w:rFonts w:eastAsiaTheme="minorHAnsi"/>
          <w:color w:val="000000"/>
        </w:rPr>
        <w:t xml:space="preserve"> </w:t>
      </w:r>
      <w:r w:rsidR="00520814" w:rsidRPr="00635ABB">
        <w:rPr>
          <w:rFonts w:eastAsiaTheme="minorHAnsi"/>
          <w:color w:val="000000"/>
        </w:rPr>
        <w:t xml:space="preserve">which is </w:t>
      </w:r>
      <w:r w:rsidR="00B9540C">
        <w:rPr>
          <w:rFonts w:eastAsiaTheme="minorHAnsi"/>
          <w:color w:val="000000"/>
        </w:rPr>
        <w:t xml:space="preserve">a little </w:t>
      </w:r>
      <w:r w:rsidR="00520814" w:rsidRPr="00635ABB">
        <w:rPr>
          <w:rFonts w:eastAsiaTheme="minorHAnsi"/>
          <w:color w:val="000000"/>
        </w:rPr>
        <w:t xml:space="preserve">higher than </w:t>
      </w:r>
      <w:r w:rsidR="007A6035" w:rsidRPr="00635ABB">
        <w:rPr>
          <w:rFonts w:eastAsiaTheme="minorHAnsi"/>
          <w:color w:val="000000"/>
        </w:rPr>
        <w:t xml:space="preserve">NH </w:t>
      </w:r>
      <w:bookmarkStart w:id="0" w:name="_GoBack"/>
      <w:r w:rsidR="00520814" w:rsidRPr="00635ABB">
        <w:rPr>
          <w:rFonts w:eastAsiaTheme="minorHAnsi"/>
          <w:color w:val="000000"/>
        </w:rPr>
        <w:t>(white=</w:t>
      </w:r>
      <w:r w:rsidR="007A6035" w:rsidRPr="00635ABB">
        <w:rPr>
          <w:rFonts w:eastAsiaTheme="minorHAnsi"/>
          <w:color w:val="000000"/>
        </w:rPr>
        <w:t>94%</w:t>
      </w:r>
      <w:r w:rsidR="00520814" w:rsidRPr="00635ABB">
        <w:rPr>
          <w:rFonts w:eastAsiaTheme="minorHAnsi"/>
          <w:color w:val="000000"/>
        </w:rPr>
        <w:t>).</w:t>
      </w:r>
      <w:r w:rsidR="00957C31">
        <w:rPr>
          <w:rStyle w:val="FootnoteReference"/>
          <w:rFonts w:eastAsiaTheme="minorHAnsi"/>
          <w:color w:val="000000"/>
        </w:rPr>
        <w:footnoteReference w:id="3"/>
      </w:r>
    </w:p>
    <w:bookmarkEnd w:id="0"/>
    <w:p w:rsidR="004279EB" w:rsidRDefault="004279EB" w:rsidP="00AC1779">
      <w:pPr>
        <w:spacing w:line="276" w:lineRule="auto"/>
        <w:rPr>
          <w:rFonts w:eastAsiaTheme="minorHAnsi"/>
          <w:color w:val="000000"/>
        </w:rPr>
      </w:pPr>
    </w:p>
    <w:p w:rsidR="00DA0638" w:rsidRDefault="00520814" w:rsidP="00AC1779">
      <w:pPr>
        <w:spacing w:line="276" w:lineRule="auto"/>
      </w:pPr>
      <w:r w:rsidRPr="00635ABB">
        <w:rPr>
          <w:rFonts w:eastAsiaTheme="minorHAnsi"/>
          <w:color w:val="000000"/>
        </w:rPr>
        <w:t xml:space="preserve">Time period: </w:t>
      </w:r>
      <w:r w:rsidR="00B9540C">
        <w:t>As</w:t>
      </w:r>
      <w:r w:rsidR="00DA0638" w:rsidRPr="00635ABB">
        <w:t xml:space="preserve"> </w:t>
      </w:r>
      <w:r w:rsidR="007D2C89" w:rsidRPr="00635ABB">
        <w:t>Andover has</w:t>
      </w:r>
      <w:r w:rsidR="00092B88">
        <w:t xml:space="preserve"> a</w:t>
      </w:r>
      <w:r w:rsidRPr="00635ABB">
        <w:t xml:space="preserve"> small </w:t>
      </w:r>
      <w:r w:rsidR="00092B88">
        <w:t>population</w:t>
      </w:r>
      <w:r w:rsidRPr="00635ABB">
        <w:t xml:space="preserve">, we decided to include </w:t>
      </w:r>
      <w:r w:rsidR="0018006F">
        <w:t xml:space="preserve">cases from </w:t>
      </w:r>
      <w:r w:rsidR="00092B88">
        <w:t xml:space="preserve">a </w:t>
      </w:r>
      <w:r w:rsidRPr="00635ABB">
        <w:t xml:space="preserve">7 year time period (2005-2011) </w:t>
      </w:r>
      <w:r w:rsidR="00B9540C">
        <w:t xml:space="preserve">because more cases provide greater </w:t>
      </w:r>
      <w:r w:rsidRPr="00635ABB">
        <w:t xml:space="preserve">statistical stability. </w:t>
      </w:r>
      <w:r w:rsidR="00DA0638" w:rsidRPr="00635ABB">
        <w:t xml:space="preserve">We </w:t>
      </w:r>
      <w:r w:rsidR="00092B88">
        <w:t>had</w:t>
      </w:r>
      <w:r w:rsidR="00092B88" w:rsidRPr="00635ABB">
        <w:t xml:space="preserve"> </w:t>
      </w:r>
      <w:r w:rsidR="00DA0638" w:rsidRPr="00635ABB">
        <w:t xml:space="preserve">reliable </w:t>
      </w:r>
      <w:r w:rsidR="0018006F">
        <w:t xml:space="preserve">and complete </w:t>
      </w:r>
      <w:r w:rsidR="00BD6898">
        <w:t xml:space="preserve">NHSCR </w:t>
      </w:r>
      <w:r w:rsidR="00DA0638" w:rsidRPr="00635ABB">
        <w:t xml:space="preserve">records through 2011. </w:t>
      </w:r>
      <w:r w:rsidR="00BD6898">
        <w:t>(The NHSCR</w:t>
      </w:r>
      <w:r w:rsidR="00BD6898" w:rsidRPr="00635ABB">
        <w:t xml:space="preserve"> </w:t>
      </w:r>
      <w:r w:rsidR="00DA0638" w:rsidRPr="00635ABB">
        <w:t>generally wait</w:t>
      </w:r>
      <w:r w:rsidR="00BD6898">
        <w:t>s</w:t>
      </w:r>
      <w:r w:rsidR="00DA0638" w:rsidRPr="00635ABB">
        <w:t xml:space="preserve"> 2 years from the end of a diagnosis year before publishing any cancer incidence data. 2012 data will be available by the end of 2014</w:t>
      </w:r>
      <w:r w:rsidR="0018006F">
        <w:t xml:space="preserve"> or early 2015</w:t>
      </w:r>
      <w:r w:rsidR="00DA0638" w:rsidRPr="00635ABB">
        <w:t>.</w:t>
      </w:r>
      <w:r w:rsidR="00BD6898">
        <w:t>)</w:t>
      </w:r>
    </w:p>
    <w:p w:rsidR="004279EB" w:rsidRDefault="004279EB" w:rsidP="00AC1779">
      <w:pPr>
        <w:spacing w:line="276" w:lineRule="auto"/>
      </w:pPr>
    </w:p>
    <w:p w:rsidR="00635ABB" w:rsidRDefault="00635ABB" w:rsidP="00AC1779">
      <w:pPr>
        <w:spacing w:line="276" w:lineRule="auto"/>
      </w:pPr>
      <w:r>
        <w:t>Case definition: For this analysis, we included only ‘invasive’ cancer cases</w:t>
      </w:r>
      <w:r w:rsidR="00BD6898">
        <w:t>, following</w:t>
      </w:r>
      <w:r w:rsidR="0018006F">
        <w:t xml:space="preserve"> a standard practice used by CDC</w:t>
      </w:r>
      <w:r w:rsidR="00B9540C">
        <w:t xml:space="preserve"> and National Program for Cancer Registry (</w:t>
      </w:r>
      <w:r w:rsidR="0018006F">
        <w:t>NPCR</w:t>
      </w:r>
      <w:r w:rsidR="00B9540C">
        <w:t>)</w:t>
      </w:r>
      <w:r w:rsidR="0018006F">
        <w:t xml:space="preserve">. </w:t>
      </w:r>
      <w:r w:rsidR="00C32DF4">
        <w:t xml:space="preserve">It included all localized, regional and distant stage cases and only </w:t>
      </w:r>
      <w:r w:rsidR="00BC3D65">
        <w:t xml:space="preserve">in-situ </w:t>
      </w:r>
      <w:r w:rsidR="00C32DF4">
        <w:t xml:space="preserve">urinary bladder </w:t>
      </w:r>
      <w:r w:rsidR="004279EB">
        <w:t xml:space="preserve">cancer </w:t>
      </w:r>
      <w:r w:rsidR="00BC3D65">
        <w:t xml:space="preserve">cases. </w:t>
      </w:r>
    </w:p>
    <w:p w:rsidR="0018006F" w:rsidRPr="00635ABB" w:rsidRDefault="0018006F" w:rsidP="00AC1779">
      <w:pPr>
        <w:spacing w:line="276" w:lineRule="auto"/>
      </w:pPr>
    </w:p>
    <w:p w:rsidR="0002074F" w:rsidRDefault="00635ABB" w:rsidP="00AC1779">
      <w:pPr>
        <w:pStyle w:val="BodyText"/>
        <w:spacing w:line="276" w:lineRule="auto"/>
        <w:jc w:val="left"/>
        <w:rPr>
          <w:color w:val="auto"/>
        </w:rPr>
      </w:pPr>
      <w:r w:rsidRPr="002D6265">
        <w:rPr>
          <w:color w:val="auto"/>
        </w:rPr>
        <w:t>Statistical analysis: We calculated</w:t>
      </w:r>
      <w:r w:rsidR="00BD6898">
        <w:rPr>
          <w:color w:val="auto"/>
        </w:rPr>
        <w:t xml:space="preserve"> the</w:t>
      </w:r>
      <w:r w:rsidRPr="002D6265">
        <w:rPr>
          <w:color w:val="auto"/>
        </w:rPr>
        <w:t xml:space="preserve"> </w:t>
      </w:r>
      <w:r w:rsidR="00BD6898">
        <w:rPr>
          <w:color w:val="auto"/>
        </w:rPr>
        <w:t>S</w:t>
      </w:r>
      <w:r w:rsidRPr="002D6265">
        <w:rPr>
          <w:color w:val="auto"/>
        </w:rPr>
        <w:t xml:space="preserve">tandardized </w:t>
      </w:r>
      <w:r w:rsidR="00BD6898">
        <w:rPr>
          <w:color w:val="auto"/>
        </w:rPr>
        <w:t>I</w:t>
      </w:r>
      <w:r w:rsidRPr="002D6265">
        <w:rPr>
          <w:color w:val="auto"/>
        </w:rPr>
        <w:t xml:space="preserve">ncidence </w:t>
      </w:r>
      <w:r w:rsidR="00BD6898">
        <w:rPr>
          <w:color w:val="auto"/>
        </w:rPr>
        <w:t>R</w:t>
      </w:r>
      <w:r w:rsidRPr="002D6265">
        <w:rPr>
          <w:color w:val="auto"/>
        </w:rPr>
        <w:t xml:space="preserve">atio </w:t>
      </w:r>
      <w:r w:rsidR="00BD6898">
        <w:rPr>
          <w:color w:val="auto"/>
        </w:rPr>
        <w:t>(SIR), which is a statistical measure that</w:t>
      </w:r>
      <w:r w:rsidRPr="002D6265">
        <w:rPr>
          <w:color w:val="auto"/>
        </w:rPr>
        <w:t xml:space="preserve"> examine</w:t>
      </w:r>
      <w:r w:rsidR="00BD6898">
        <w:rPr>
          <w:color w:val="auto"/>
        </w:rPr>
        <w:t>s</w:t>
      </w:r>
      <w:r w:rsidRPr="002D6265">
        <w:rPr>
          <w:color w:val="auto"/>
        </w:rPr>
        <w:t xml:space="preserve"> whether the observed </w:t>
      </w:r>
      <w:r w:rsidR="00BD6898">
        <w:rPr>
          <w:color w:val="auto"/>
        </w:rPr>
        <w:t xml:space="preserve">number of cancer </w:t>
      </w:r>
      <w:r w:rsidRPr="002D6265">
        <w:rPr>
          <w:color w:val="auto"/>
        </w:rPr>
        <w:t xml:space="preserve">cases in Andover </w:t>
      </w:r>
      <w:r w:rsidR="00BD6898">
        <w:rPr>
          <w:color w:val="auto"/>
        </w:rPr>
        <w:t>exceeded</w:t>
      </w:r>
      <w:r w:rsidRPr="002D6265">
        <w:rPr>
          <w:color w:val="auto"/>
        </w:rPr>
        <w:t xml:space="preserve"> the expected </w:t>
      </w:r>
      <w:r w:rsidR="00BD6898">
        <w:rPr>
          <w:color w:val="auto"/>
        </w:rPr>
        <w:t xml:space="preserve">number of </w:t>
      </w:r>
      <w:r w:rsidRPr="002D6265">
        <w:rPr>
          <w:color w:val="auto"/>
        </w:rPr>
        <w:t xml:space="preserve">cases. </w:t>
      </w:r>
      <w:r w:rsidR="00B9540C">
        <w:rPr>
          <w:color w:val="auto"/>
        </w:rPr>
        <w:t xml:space="preserve">In this way, </w:t>
      </w:r>
      <w:r w:rsidRPr="002D6265">
        <w:rPr>
          <w:color w:val="auto"/>
        </w:rPr>
        <w:t xml:space="preserve">SIR </w:t>
      </w:r>
      <w:r w:rsidR="00BD6898">
        <w:rPr>
          <w:color w:val="auto"/>
        </w:rPr>
        <w:t>compared</w:t>
      </w:r>
      <w:r w:rsidR="00BD6898" w:rsidRPr="002D6265">
        <w:rPr>
          <w:color w:val="auto"/>
        </w:rPr>
        <w:t xml:space="preserve"> </w:t>
      </w:r>
      <w:r w:rsidRPr="002D6265">
        <w:rPr>
          <w:color w:val="auto"/>
        </w:rPr>
        <w:t xml:space="preserve">the cancer rate </w:t>
      </w:r>
      <w:r w:rsidR="00BD6898">
        <w:rPr>
          <w:color w:val="auto"/>
        </w:rPr>
        <w:t xml:space="preserve">in Andover </w:t>
      </w:r>
      <w:r w:rsidRPr="002D6265">
        <w:rPr>
          <w:color w:val="auto"/>
        </w:rPr>
        <w:t xml:space="preserve">with that of the </w:t>
      </w:r>
      <w:r w:rsidR="00BD6898">
        <w:rPr>
          <w:color w:val="auto"/>
        </w:rPr>
        <w:t xml:space="preserve">entire </w:t>
      </w:r>
      <w:r w:rsidRPr="002D6265">
        <w:rPr>
          <w:color w:val="auto"/>
        </w:rPr>
        <w:t>state</w:t>
      </w:r>
      <w:r w:rsidR="00BD6898">
        <w:rPr>
          <w:color w:val="auto"/>
        </w:rPr>
        <w:t xml:space="preserve"> of NH</w:t>
      </w:r>
      <w:r w:rsidRPr="002D6265">
        <w:rPr>
          <w:color w:val="auto"/>
        </w:rPr>
        <w:t xml:space="preserve">, taking into account differences in age in the different communities. </w:t>
      </w:r>
      <w:r w:rsidR="00B9540C">
        <w:rPr>
          <w:color w:val="auto"/>
        </w:rPr>
        <w:t xml:space="preserve">As an aid to interpretation, an </w:t>
      </w:r>
      <w:r w:rsidRPr="002D6265">
        <w:rPr>
          <w:color w:val="auto"/>
        </w:rPr>
        <w:t xml:space="preserve">SIR of 1 </w:t>
      </w:r>
      <w:r w:rsidR="00BD6898">
        <w:rPr>
          <w:color w:val="auto"/>
        </w:rPr>
        <w:t>means</w:t>
      </w:r>
      <w:r w:rsidR="00BD6898" w:rsidRPr="002D6265">
        <w:rPr>
          <w:color w:val="auto"/>
        </w:rPr>
        <w:t xml:space="preserve"> </w:t>
      </w:r>
      <w:r w:rsidRPr="002D6265">
        <w:rPr>
          <w:color w:val="auto"/>
        </w:rPr>
        <w:t xml:space="preserve">the </w:t>
      </w:r>
      <w:r w:rsidR="00BD6898">
        <w:rPr>
          <w:color w:val="auto"/>
        </w:rPr>
        <w:t xml:space="preserve">rate of cancer in the community is the </w:t>
      </w:r>
      <w:r w:rsidRPr="002D6265">
        <w:rPr>
          <w:color w:val="auto"/>
        </w:rPr>
        <w:t xml:space="preserve">same as </w:t>
      </w:r>
      <w:r w:rsidR="00BD6898">
        <w:rPr>
          <w:color w:val="auto"/>
        </w:rPr>
        <w:t>the state of NH</w:t>
      </w:r>
      <w:r w:rsidRPr="002D6265">
        <w:rPr>
          <w:color w:val="auto"/>
        </w:rPr>
        <w:t>.  An SIR greater than 1 suggests a higher risk</w:t>
      </w:r>
      <w:r w:rsidR="00BD6898">
        <w:rPr>
          <w:color w:val="auto"/>
        </w:rPr>
        <w:t xml:space="preserve"> of cancer</w:t>
      </w:r>
      <w:r w:rsidRPr="002D6265">
        <w:rPr>
          <w:color w:val="auto"/>
        </w:rPr>
        <w:t xml:space="preserve">, and an SIR less than 1 suggests a lower risk. </w:t>
      </w:r>
    </w:p>
    <w:p w:rsidR="00DA3A61" w:rsidRDefault="00DA3A61" w:rsidP="00AC1779">
      <w:pPr>
        <w:pStyle w:val="BodyText"/>
        <w:spacing w:line="276" w:lineRule="auto"/>
        <w:jc w:val="left"/>
        <w:rPr>
          <w:color w:val="auto"/>
        </w:rPr>
      </w:pPr>
    </w:p>
    <w:p w:rsidR="0002074F" w:rsidRDefault="00635ABB" w:rsidP="00AC1779">
      <w:pPr>
        <w:pStyle w:val="BodyText"/>
        <w:spacing w:line="276" w:lineRule="auto"/>
        <w:jc w:val="left"/>
        <w:rPr>
          <w:color w:val="auto"/>
        </w:rPr>
      </w:pPr>
      <w:r w:rsidRPr="002D6265">
        <w:rPr>
          <w:color w:val="auto"/>
        </w:rPr>
        <w:t xml:space="preserve">The </w:t>
      </w:r>
      <w:r w:rsidR="00B9540C">
        <w:rPr>
          <w:color w:val="auto"/>
        </w:rPr>
        <w:t xml:space="preserve">95% </w:t>
      </w:r>
      <w:r w:rsidRPr="002D6265">
        <w:rPr>
          <w:color w:val="auto"/>
        </w:rPr>
        <w:t>confidence interval (CI) shows the variability associated with the measure; when the range between the lower and upper confidence intervals includes 1.0, then the result is not statistically significant</w:t>
      </w:r>
      <w:r w:rsidR="00BD6898">
        <w:rPr>
          <w:color w:val="auto"/>
        </w:rPr>
        <w:t>,</w:t>
      </w:r>
      <w:r w:rsidRPr="002D6265">
        <w:rPr>
          <w:color w:val="auto"/>
        </w:rPr>
        <w:t xml:space="preserve"> i.e. the most likely explanation is random chance rather than a true difference between the two populations being compared. For example, if the confidence interval ranges from 0.06 to 26.64; the rate</w:t>
      </w:r>
      <w:r w:rsidR="003C41E5">
        <w:rPr>
          <w:color w:val="auto"/>
        </w:rPr>
        <w:t xml:space="preserve"> includes 1.0 so</w:t>
      </w:r>
      <w:r w:rsidRPr="002D6265">
        <w:rPr>
          <w:color w:val="auto"/>
        </w:rPr>
        <w:t xml:space="preserve"> </w:t>
      </w:r>
      <w:r w:rsidR="0002074F">
        <w:rPr>
          <w:color w:val="auto"/>
        </w:rPr>
        <w:t xml:space="preserve">it </w:t>
      </w:r>
      <w:r w:rsidRPr="002D6265">
        <w:rPr>
          <w:color w:val="auto"/>
        </w:rPr>
        <w:t xml:space="preserve">is not significantly different than expected. </w:t>
      </w:r>
      <w:r w:rsidR="002D6265">
        <w:rPr>
          <w:color w:val="auto"/>
        </w:rPr>
        <w:t xml:space="preserve">A detailed discussion of this technique is available in Appendix A. </w:t>
      </w:r>
    </w:p>
    <w:p w:rsidR="00DA3A61" w:rsidRDefault="00DA3A61" w:rsidP="00AC1779">
      <w:pPr>
        <w:pStyle w:val="BodyText"/>
        <w:spacing w:line="276" w:lineRule="auto"/>
        <w:jc w:val="left"/>
        <w:rPr>
          <w:color w:val="auto"/>
        </w:rPr>
      </w:pPr>
    </w:p>
    <w:p w:rsidR="002D6265" w:rsidRDefault="002D6265" w:rsidP="00AC1779">
      <w:pPr>
        <w:pStyle w:val="BodyText"/>
        <w:spacing w:line="276" w:lineRule="auto"/>
        <w:jc w:val="left"/>
        <w:rPr>
          <w:color w:val="auto"/>
        </w:rPr>
      </w:pPr>
      <w:r>
        <w:rPr>
          <w:color w:val="auto"/>
        </w:rPr>
        <w:t>Each type of cancer was analyzed according to 19 age-groups (&lt;1, 1-4, 5-9, 10-14, 15-19, 20-24, 25-29, 30</w:t>
      </w:r>
      <w:r>
        <w:rPr>
          <w:color w:val="auto"/>
        </w:rPr>
        <w:noBreakHyphen/>
        <w:t>34, 35</w:t>
      </w:r>
      <w:r>
        <w:rPr>
          <w:color w:val="auto"/>
        </w:rPr>
        <w:noBreakHyphen/>
        <w:t>39, 40</w:t>
      </w:r>
      <w:r>
        <w:rPr>
          <w:color w:val="auto"/>
        </w:rPr>
        <w:noBreakHyphen/>
        <w:t>44, 45</w:t>
      </w:r>
      <w:r>
        <w:rPr>
          <w:color w:val="auto"/>
        </w:rPr>
        <w:noBreakHyphen/>
        <w:t>49, 50</w:t>
      </w:r>
      <w:r>
        <w:rPr>
          <w:color w:val="auto"/>
        </w:rPr>
        <w:noBreakHyphen/>
        <w:t>54, 55</w:t>
      </w:r>
      <w:r>
        <w:rPr>
          <w:color w:val="auto"/>
        </w:rPr>
        <w:noBreakHyphen/>
        <w:t>59, 60</w:t>
      </w:r>
      <w:r>
        <w:rPr>
          <w:color w:val="auto"/>
        </w:rPr>
        <w:noBreakHyphen/>
        <w:t>64, 65</w:t>
      </w:r>
      <w:r>
        <w:rPr>
          <w:color w:val="auto"/>
        </w:rPr>
        <w:noBreakHyphen/>
        <w:t>69, 70</w:t>
      </w:r>
      <w:r>
        <w:rPr>
          <w:color w:val="auto"/>
        </w:rPr>
        <w:noBreakHyphen/>
        <w:t>74, 75</w:t>
      </w:r>
      <w:r>
        <w:rPr>
          <w:color w:val="auto"/>
        </w:rPr>
        <w:noBreakHyphen/>
        <w:t>79, 80</w:t>
      </w:r>
      <w:r>
        <w:rPr>
          <w:color w:val="auto"/>
        </w:rPr>
        <w:noBreakHyphen/>
        <w:t>84, and 85+ years). This process allow</w:t>
      </w:r>
      <w:r w:rsidR="003C41E5">
        <w:rPr>
          <w:color w:val="auto"/>
        </w:rPr>
        <w:t>ed</w:t>
      </w:r>
      <w:r>
        <w:rPr>
          <w:color w:val="auto"/>
        </w:rPr>
        <w:t xml:space="preserve"> for a comparison between the observed </w:t>
      </w:r>
      <w:proofErr w:type="gramStart"/>
      <w:r>
        <w:rPr>
          <w:color w:val="auto"/>
        </w:rPr>
        <w:t>number</w:t>
      </w:r>
      <w:proofErr w:type="gramEnd"/>
      <w:r>
        <w:rPr>
          <w:color w:val="auto"/>
        </w:rPr>
        <w:t xml:space="preserve"> of cancer cases in Andover, per cancer type, to the expected number of cases derived using the comparison </w:t>
      </w:r>
      <w:r w:rsidR="003C41E5">
        <w:rPr>
          <w:color w:val="auto"/>
        </w:rPr>
        <w:t xml:space="preserve">NH </w:t>
      </w:r>
      <w:r>
        <w:rPr>
          <w:color w:val="auto"/>
        </w:rPr>
        <w:t>population.</w:t>
      </w:r>
    </w:p>
    <w:p w:rsidR="003C41E5" w:rsidRDefault="003C41E5" w:rsidP="003365E7">
      <w:pPr>
        <w:spacing w:line="276" w:lineRule="auto"/>
      </w:pPr>
    </w:p>
    <w:p w:rsidR="004763B8" w:rsidRDefault="004763B8" w:rsidP="003365E7">
      <w:pPr>
        <w:spacing w:line="276" w:lineRule="auto"/>
      </w:pPr>
    </w:p>
    <w:p w:rsidR="00520814" w:rsidRPr="00073AD7" w:rsidRDefault="00B223DB" w:rsidP="003365E7">
      <w:pPr>
        <w:spacing w:line="276" w:lineRule="auto"/>
        <w:rPr>
          <w:b/>
        </w:rPr>
      </w:pPr>
      <w:r w:rsidRPr="00073AD7">
        <w:rPr>
          <w:b/>
        </w:rPr>
        <w:t>RESULTS:</w:t>
      </w:r>
    </w:p>
    <w:p w:rsidR="00B223DB" w:rsidRDefault="00B223DB" w:rsidP="003365E7">
      <w:pPr>
        <w:spacing w:line="276" w:lineRule="auto"/>
      </w:pPr>
    </w:p>
    <w:p w:rsidR="001C5674" w:rsidRDefault="0018006F" w:rsidP="003365E7">
      <w:pPr>
        <w:spacing w:line="276" w:lineRule="auto"/>
      </w:pPr>
      <w:r w:rsidRPr="001C5674">
        <w:t xml:space="preserve">The findings from our analyses are illustrated in Table 1. </w:t>
      </w:r>
      <w:r w:rsidR="006B507E" w:rsidRPr="001C5674">
        <w:rPr>
          <w:color w:val="000000"/>
        </w:rPr>
        <w:t>From 1/2005 to 12/2011</w:t>
      </w:r>
      <w:r w:rsidR="001C5674">
        <w:rPr>
          <w:color w:val="000000"/>
        </w:rPr>
        <w:t>,</w:t>
      </w:r>
      <w:r w:rsidR="006B507E" w:rsidRPr="001C5674">
        <w:rPr>
          <w:color w:val="000000"/>
        </w:rPr>
        <w:t xml:space="preserve"> </w:t>
      </w:r>
      <w:r w:rsidR="008824F8" w:rsidRPr="001C5674">
        <w:t>we found a total of 96 registered cancer cases in all of Andover town</w:t>
      </w:r>
      <w:r w:rsidR="003C41E5">
        <w:t xml:space="preserve">. </w:t>
      </w:r>
      <w:r w:rsidR="0064545E">
        <w:t xml:space="preserve">The expected number for a town of this size </w:t>
      </w:r>
      <w:r w:rsidR="00DA3A61">
        <w:t xml:space="preserve">and age distribution </w:t>
      </w:r>
      <w:r w:rsidR="0064545E">
        <w:t xml:space="preserve">in NH is 97, which is very similar. </w:t>
      </w:r>
      <w:r w:rsidR="006B507E" w:rsidRPr="001C5674">
        <w:rPr>
          <w:color w:val="000000"/>
        </w:rPr>
        <w:t xml:space="preserve">However, this does not mean that specific cancer types are all within </w:t>
      </w:r>
      <w:r w:rsidR="0064545E">
        <w:rPr>
          <w:color w:val="000000"/>
        </w:rPr>
        <w:t xml:space="preserve">the expected range. </w:t>
      </w:r>
      <w:r w:rsidR="00852EB9" w:rsidRPr="001C5674">
        <w:rPr>
          <w:color w:val="000000"/>
        </w:rPr>
        <w:t xml:space="preserve">We found six </w:t>
      </w:r>
      <w:r w:rsidR="00233790">
        <w:rPr>
          <w:color w:val="000000"/>
        </w:rPr>
        <w:t>specific cancer types</w:t>
      </w:r>
      <w:r w:rsidR="00852EB9" w:rsidRPr="001C5674">
        <w:rPr>
          <w:color w:val="000000"/>
        </w:rPr>
        <w:t xml:space="preserve"> with 5 or more cases in Andover during this time period.  </w:t>
      </w:r>
      <w:r w:rsidR="001C5674">
        <w:rPr>
          <w:color w:val="000000"/>
        </w:rPr>
        <w:t xml:space="preserve">SIR was not calculated for </w:t>
      </w:r>
      <w:r w:rsidR="00233790">
        <w:rPr>
          <w:color w:val="000000"/>
        </w:rPr>
        <w:t xml:space="preserve">the </w:t>
      </w:r>
      <w:r w:rsidR="001C5674">
        <w:rPr>
          <w:color w:val="000000"/>
        </w:rPr>
        <w:t xml:space="preserve">cancer </w:t>
      </w:r>
      <w:r w:rsidR="00233790">
        <w:rPr>
          <w:color w:val="000000"/>
        </w:rPr>
        <w:t xml:space="preserve">types </w:t>
      </w:r>
      <w:r w:rsidR="001C5674">
        <w:rPr>
          <w:color w:val="000000"/>
        </w:rPr>
        <w:t>with few</w:t>
      </w:r>
      <w:r w:rsidR="00233790">
        <w:rPr>
          <w:color w:val="000000"/>
        </w:rPr>
        <w:t>er than 5</w:t>
      </w:r>
      <w:r w:rsidR="001C5674">
        <w:rPr>
          <w:color w:val="000000"/>
        </w:rPr>
        <w:t xml:space="preserve"> cases </w:t>
      </w:r>
      <w:r w:rsidR="00233790">
        <w:rPr>
          <w:color w:val="000000"/>
        </w:rPr>
        <w:t>between 2005 and 2011</w:t>
      </w:r>
      <w:r w:rsidR="001C5674">
        <w:rPr>
          <w:color w:val="000000"/>
        </w:rPr>
        <w:t xml:space="preserve">. </w:t>
      </w:r>
      <w:r w:rsidR="008824F8" w:rsidRPr="001C5674">
        <w:t xml:space="preserve">We found that Andover had a slightly higher </w:t>
      </w:r>
      <w:r w:rsidR="001C5674" w:rsidRPr="001C5674">
        <w:t xml:space="preserve">number </w:t>
      </w:r>
      <w:r w:rsidR="001C5674">
        <w:t xml:space="preserve">of </w:t>
      </w:r>
      <w:r w:rsidR="008824F8" w:rsidRPr="001C5674">
        <w:t>observed lung</w:t>
      </w:r>
      <w:r w:rsidR="001C5674">
        <w:t>,</w:t>
      </w:r>
      <w:r w:rsidR="008824F8" w:rsidRPr="001C5674">
        <w:t xml:space="preserve"> colorectal</w:t>
      </w:r>
      <w:r w:rsidR="001C5674">
        <w:t>, melanoma and uterus</w:t>
      </w:r>
      <w:r w:rsidR="008824F8" w:rsidRPr="001C5674">
        <w:t xml:space="preserve"> cancer cases than expected, </w:t>
      </w:r>
      <w:r w:rsidR="00D82A65">
        <w:t xml:space="preserve">and a slightly lower number of observed prostate and female breast cancer cases than </w:t>
      </w:r>
      <w:r w:rsidR="00122827">
        <w:t>expected</w:t>
      </w:r>
      <w:r w:rsidR="00D82A65">
        <w:t xml:space="preserve">, </w:t>
      </w:r>
      <w:r w:rsidR="008824F8" w:rsidRPr="001C5674">
        <w:t xml:space="preserve">but </w:t>
      </w:r>
      <w:r w:rsidR="00D82A65">
        <w:t>these numbers were not outside the range of random chan</w:t>
      </w:r>
      <w:r w:rsidR="00122827">
        <w:t>ce</w:t>
      </w:r>
      <w:r w:rsidR="00D82A65">
        <w:t xml:space="preserve"> (i.e., </w:t>
      </w:r>
      <w:r w:rsidR="008824F8" w:rsidRPr="001C5674">
        <w:t xml:space="preserve">the </w:t>
      </w:r>
      <w:r w:rsidR="001C5674">
        <w:t>differences</w:t>
      </w:r>
      <w:r w:rsidR="008824F8" w:rsidRPr="001C5674">
        <w:t xml:space="preserve"> were not statistically significant</w:t>
      </w:r>
      <w:r w:rsidR="00D82A65">
        <w:t xml:space="preserve"> </w:t>
      </w:r>
      <w:r w:rsidR="007D2C89">
        <w:t>because</w:t>
      </w:r>
      <w:r w:rsidR="00D82A65">
        <w:t xml:space="preserve"> the CI included 1.0)</w:t>
      </w:r>
      <w:r w:rsidR="008824F8" w:rsidRPr="001C5674">
        <w:t xml:space="preserve">. </w:t>
      </w:r>
    </w:p>
    <w:p w:rsidR="001C5674" w:rsidRDefault="001C5674">
      <w:pPr>
        <w:spacing w:after="200" w:line="276" w:lineRule="auto"/>
      </w:pPr>
    </w:p>
    <w:p w:rsidR="00FE1AE4" w:rsidRPr="00EC56E0" w:rsidRDefault="00FE1AE4" w:rsidP="00FE1AE4">
      <w:pPr>
        <w:spacing w:line="276" w:lineRule="auto"/>
        <w:rPr>
          <w:bCs/>
        </w:rPr>
      </w:pPr>
      <w:r w:rsidRPr="00EC56E0">
        <w:rPr>
          <w:b/>
          <w:bCs/>
        </w:rPr>
        <w:t xml:space="preserve">Table 1: </w:t>
      </w:r>
      <w:r w:rsidRPr="00EC56E0">
        <w:rPr>
          <w:bCs/>
        </w:rPr>
        <w:t xml:space="preserve">Standardized Incidence Ratios for </w:t>
      </w:r>
      <w:r w:rsidR="008824F8">
        <w:t>different</w:t>
      </w:r>
      <w:r w:rsidRPr="00EC56E0">
        <w:t xml:space="preserve"> cancer </w:t>
      </w:r>
      <w:r w:rsidR="00D82A65">
        <w:t>types</w:t>
      </w:r>
      <w:r w:rsidR="00D82A65" w:rsidRPr="00EC56E0">
        <w:t xml:space="preserve"> </w:t>
      </w:r>
      <w:r w:rsidRPr="00EC56E0">
        <w:rPr>
          <w:bCs/>
        </w:rPr>
        <w:t xml:space="preserve">in Andover town </w:t>
      </w:r>
      <w:r w:rsidR="00DA3A61">
        <w:rPr>
          <w:bCs/>
        </w:rPr>
        <w:t xml:space="preserve">for </w:t>
      </w:r>
      <w:r w:rsidRPr="00EC56E0">
        <w:rPr>
          <w:bCs/>
        </w:rPr>
        <w:t>male</w:t>
      </w:r>
      <w:r w:rsidR="00DA3A61">
        <w:rPr>
          <w:bCs/>
        </w:rPr>
        <w:t>s</w:t>
      </w:r>
      <w:r w:rsidRPr="00EC56E0">
        <w:rPr>
          <w:bCs/>
        </w:rPr>
        <w:t xml:space="preserve"> and female</w:t>
      </w:r>
      <w:r w:rsidR="00DA3A61">
        <w:rPr>
          <w:bCs/>
        </w:rPr>
        <w:t>s</w:t>
      </w:r>
      <w:r w:rsidRPr="00EC56E0">
        <w:rPr>
          <w:bCs/>
        </w:rPr>
        <w:t>, 2005-2011</w:t>
      </w:r>
    </w:p>
    <w:p w:rsidR="00EC56E0" w:rsidRDefault="00EC56E0" w:rsidP="00635ABB">
      <w:pPr>
        <w:spacing w:line="276" w:lineRule="auto"/>
        <w:rPr>
          <w:rFonts w:eastAsiaTheme="minorHAnsi"/>
          <w:color w:val="000000"/>
        </w:rPr>
      </w:pP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1428"/>
        <w:gridCol w:w="1272"/>
        <w:gridCol w:w="1413"/>
        <w:gridCol w:w="1135"/>
        <w:gridCol w:w="1320"/>
        <w:gridCol w:w="1280"/>
      </w:tblGrid>
      <w:tr w:rsidR="00EC56E0" w:rsidRPr="002D5EE6" w:rsidTr="00852EB9">
        <w:trPr>
          <w:trHeight w:val="255"/>
        </w:trPr>
        <w:tc>
          <w:tcPr>
            <w:tcW w:w="1635" w:type="dxa"/>
          </w:tcPr>
          <w:p w:rsidR="00EC56E0" w:rsidRPr="00852EB9" w:rsidRDefault="00EC56E0" w:rsidP="00FD1F5D">
            <w:pPr>
              <w:spacing w:line="276" w:lineRule="auto"/>
              <w:rPr>
                <w:sz w:val="22"/>
                <w:szCs w:val="22"/>
              </w:rPr>
            </w:pPr>
            <w:r w:rsidRPr="00852EB9">
              <w:rPr>
                <w:sz w:val="22"/>
                <w:szCs w:val="22"/>
              </w:rPr>
              <w:t>Cancer Type</w:t>
            </w:r>
          </w:p>
        </w:tc>
        <w:tc>
          <w:tcPr>
            <w:tcW w:w="1428" w:type="dxa"/>
            <w:shd w:val="clear" w:color="auto" w:fill="auto"/>
            <w:noWrap/>
            <w:vAlign w:val="bottom"/>
            <w:hideMark/>
          </w:tcPr>
          <w:p w:rsidR="00EC56E0" w:rsidRPr="00852EB9" w:rsidRDefault="00EC56E0" w:rsidP="00FD1F5D">
            <w:pPr>
              <w:spacing w:line="276" w:lineRule="auto"/>
              <w:rPr>
                <w:sz w:val="22"/>
                <w:szCs w:val="22"/>
              </w:rPr>
            </w:pPr>
            <w:r w:rsidRPr="00852EB9">
              <w:rPr>
                <w:sz w:val="22"/>
                <w:szCs w:val="22"/>
              </w:rPr>
              <w:t>Gender</w:t>
            </w:r>
          </w:p>
        </w:tc>
        <w:tc>
          <w:tcPr>
            <w:tcW w:w="1272" w:type="dxa"/>
            <w:shd w:val="clear" w:color="auto" w:fill="auto"/>
            <w:vAlign w:val="bottom"/>
            <w:hideMark/>
          </w:tcPr>
          <w:p w:rsidR="00EC56E0" w:rsidRPr="00852EB9" w:rsidRDefault="00EC56E0" w:rsidP="00FD1F5D">
            <w:pPr>
              <w:spacing w:line="276" w:lineRule="auto"/>
              <w:rPr>
                <w:sz w:val="22"/>
                <w:szCs w:val="22"/>
              </w:rPr>
            </w:pPr>
            <w:r w:rsidRPr="00852EB9">
              <w:rPr>
                <w:sz w:val="22"/>
                <w:szCs w:val="22"/>
              </w:rPr>
              <w:t>Expected*</w:t>
            </w:r>
          </w:p>
        </w:tc>
        <w:tc>
          <w:tcPr>
            <w:tcW w:w="1413" w:type="dxa"/>
            <w:shd w:val="clear" w:color="auto" w:fill="auto"/>
            <w:vAlign w:val="bottom"/>
            <w:hideMark/>
          </w:tcPr>
          <w:p w:rsidR="00EC56E0" w:rsidRPr="00852EB9" w:rsidRDefault="00EC56E0" w:rsidP="00FD1F5D">
            <w:pPr>
              <w:spacing w:line="276" w:lineRule="auto"/>
              <w:rPr>
                <w:sz w:val="22"/>
                <w:szCs w:val="22"/>
              </w:rPr>
            </w:pPr>
            <w:r w:rsidRPr="00852EB9">
              <w:rPr>
                <w:sz w:val="22"/>
                <w:szCs w:val="22"/>
              </w:rPr>
              <w:t>Observed **</w:t>
            </w:r>
          </w:p>
        </w:tc>
        <w:tc>
          <w:tcPr>
            <w:tcW w:w="1135" w:type="dxa"/>
            <w:shd w:val="clear" w:color="auto" w:fill="auto"/>
            <w:noWrap/>
            <w:vAlign w:val="bottom"/>
            <w:hideMark/>
          </w:tcPr>
          <w:p w:rsidR="00EC56E0" w:rsidRPr="002D5EE6" w:rsidRDefault="00EC56E0" w:rsidP="00FD1F5D">
            <w:pPr>
              <w:spacing w:line="276" w:lineRule="auto"/>
              <w:rPr>
                <w:sz w:val="22"/>
                <w:szCs w:val="22"/>
              </w:rPr>
            </w:pPr>
            <w:r w:rsidRPr="002D5EE6">
              <w:rPr>
                <w:sz w:val="22"/>
                <w:szCs w:val="22"/>
              </w:rPr>
              <w:t>SIR</w:t>
            </w:r>
          </w:p>
        </w:tc>
        <w:tc>
          <w:tcPr>
            <w:tcW w:w="1320" w:type="dxa"/>
            <w:shd w:val="clear" w:color="auto" w:fill="auto"/>
            <w:vAlign w:val="bottom"/>
            <w:hideMark/>
          </w:tcPr>
          <w:p w:rsidR="00EC56E0" w:rsidRPr="002D5EE6" w:rsidRDefault="00EC56E0" w:rsidP="00FD1F5D">
            <w:pPr>
              <w:spacing w:line="276" w:lineRule="auto"/>
              <w:rPr>
                <w:sz w:val="22"/>
                <w:szCs w:val="22"/>
              </w:rPr>
            </w:pPr>
            <w:r w:rsidRPr="002D5EE6">
              <w:rPr>
                <w:sz w:val="22"/>
                <w:szCs w:val="22"/>
              </w:rPr>
              <w:t>Lower CI</w:t>
            </w:r>
          </w:p>
        </w:tc>
        <w:tc>
          <w:tcPr>
            <w:tcW w:w="1280" w:type="dxa"/>
            <w:shd w:val="clear" w:color="auto" w:fill="auto"/>
            <w:vAlign w:val="bottom"/>
            <w:hideMark/>
          </w:tcPr>
          <w:p w:rsidR="00EC56E0" w:rsidRPr="002D5EE6" w:rsidRDefault="00EC56E0" w:rsidP="00FD1F5D">
            <w:pPr>
              <w:spacing w:line="276" w:lineRule="auto"/>
              <w:rPr>
                <w:sz w:val="22"/>
                <w:szCs w:val="22"/>
              </w:rPr>
            </w:pPr>
            <w:r w:rsidRPr="002D5EE6">
              <w:rPr>
                <w:sz w:val="22"/>
                <w:szCs w:val="22"/>
              </w:rPr>
              <w:t>Upper CI</w:t>
            </w:r>
          </w:p>
        </w:tc>
      </w:tr>
      <w:tr w:rsidR="00852EB9" w:rsidRPr="002D5EE6" w:rsidTr="00852EB9">
        <w:trPr>
          <w:trHeight w:val="255"/>
        </w:trPr>
        <w:tc>
          <w:tcPr>
            <w:tcW w:w="1635" w:type="dxa"/>
          </w:tcPr>
          <w:p w:rsidR="00852EB9" w:rsidRPr="002D5EE6" w:rsidRDefault="00852EB9" w:rsidP="00FD1F5D">
            <w:pPr>
              <w:spacing w:line="276" w:lineRule="auto"/>
              <w:rPr>
                <w:sz w:val="22"/>
                <w:szCs w:val="22"/>
              </w:rPr>
            </w:pPr>
            <w:r>
              <w:rPr>
                <w:sz w:val="22"/>
                <w:szCs w:val="22"/>
              </w:rPr>
              <w:t>All Cancer</w:t>
            </w:r>
          </w:p>
        </w:tc>
        <w:tc>
          <w:tcPr>
            <w:tcW w:w="1428" w:type="dxa"/>
            <w:shd w:val="clear" w:color="auto" w:fill="auto"/>
            <w:noWrap/>
            <w:vAlign w:val="bottom"/>
          </w:tcPr>
          <w:p w:rsidR="00852EB9" w:rsidRPr="002D5EE6" w:rsidRDefault="00852EB9" w:rsidP="00FD1F5D">
            <w:pPr>
              <w:spacing w:line="276" w:lineRule="auto"/>
              <w:rPr>
                <w:sz w:val="22"/>
                <w:szCs w:val="22"/>
              </w:rPr>
            </w:pPr>
            <w:r w:rsidRPr="002D5EE6">
              <w:rPr>
                <w:sz w:val="22"/>
                <w:szCs w:val="22"/>
              </w:rPr>
              <w:t>Male</w:t>
            </w:r>
          </w:p>
        </w:tc>
        <w:tc>
          <w:tcPr>
            <w:tcW w:w="1272" w:type="dxa"/>
            <w:shd w:val="clear" w:color="auto" w:fill="auto"/>
            <w:noWrap/>
            <w:vAlign w:val="bottom"/>
          </w:tcPr>
          <w:p w:rsidR="00852EB9" w:rsidRPr="002D5EE6" w:rsidRDefault="00852EB9" w:rsidP="00FD1F5D">
            <w:pPr>
              <w:spacing w:line="276" w:lineRule="auto"/>
              <w:rPr>
                <w:sz w:val="22"/>
                <w:szCs w:val="22"/>
              </w:rPr>
            </w:pPr>
            <w:r>
              <w:rPr>
                <w:sz w:val="22"/>
                <w:szCs w:val="22"/>
              </w:rPr>
              <w:t>54.8</w:t>
            </w:r>
          </w:p>
        </w:tc>
        <w:tc>
          <w:tcPr>
            <w:tcW w:w="1413" w:type="dxa"/>
            <w:shd w:val="clear" w:color="auto" w:fill="auto"/>
            <w:noWrap/>
            <w:vAlign w:val="bottom"/>
          </w:tcPr>
          <w:p w:rsidR="00852EB9" w:rsidRPr="002D5EE6" w:rsidRDefault="00852EB9" w:rsidP="00FD1F5D">
            <w:pPr>
              <w:spacing w:line="276" w:lineRule="auto"/>
              <w:rPr>
                <w:sz w:val="22"/>
                <w:szCs w:val="22"/>
              </w:rPr>
            </w:pPr>
            <w:r>
              <w:rPr>
                <w:sz w:val="22"/>
                <w:szCs w:val="22"/>
              </w:rPr>
              <w:t>62</w:t>
            </w:r>
          </w:p>
        </w:tc>
        <w:tc>
          <w:tcPr>
            <w:tcW w:w="1135" w:type="dxa"/>
            <w:shd w:val="clear" w:color="auto" w:fill="auto"/>
            <w:noWrap/>
            <w:vAlign w:val="bottom"/>
          </w:tcPr>
          <w:p w:rsidR="00852EB9" w:rsidRPr="002D5EE6" w:rsidRDefault="00852EB9" w:rsidP="00FD1F5D">
            <w:pPr>
              <w:spacing w:line="276" w:lineRule="auto"/>
              <w:rPr>
                <w:sz w:val="22"/>
                <w:szCs w:val="22"/>
              </w:rPr>
            </w:pPr>
            <w:r>
              <w:rPr>
                <w:sz w:val="22"/>
                <w:szCs w:val="22"/>
              </w:rPr>
              <w:t>1.13</w:t>
            </w:r>
          </w:p>
        </w:tc>
        <w:tc>
          <w:tcPr>
            <w:tcW w:w="1320" w:type="dxa"/>
            <w:shd w:val="clear" w:color="auto" w:fill="auto"/>
            <w:noWrap/>
            <w:vAlign w:val="bottom"/>
          </w:tcPr>
          <w:p w:rsidR="00852EB9" w:rsidRPr="002D5EE6" w:rsidRDefault="00852EB9" w:rsidP="00FD1F5D">
            <w:pPr>
              <w:spacing w:line="276" w:lineRule="auto"/>
              <w:rPr>
                <w:sz w:val="22"/>
                <w:szCs w:val="22"/>
              </w:rPr>
            </w:pPr>
            <w:r>
              <w:rPr>
                <w:sz w:val="22"/>
                <w:szCs w:val="22"/>
              </w:rPr>
              <w:t>0.87</w:t>
            </w:r>
          </w:p>
        </w:tc>
        <w:tc>
          <w:tcPr>
            <w:tcW w:w="1280" w:type="dxa"/>
            <w:shd w:val="clear" w:color="auto" w:fill="auto"/>
            <w:noWrap/>
            <w:vAlign w:val="bottom"/>
          </w:tcPr>
          <w:p w:rsidR="00852EB9" w:rsidRPr="002D5EE6" w:rsidRDefault="00852EB9" w:rsidP="00FD1F5D">
            <w:pPr>
              <w:spacing w:line="276" w:lineRule="auto"/>
              <w:rPr>
                <w:sz w:val="22"/>
                <w:szCs w:val="22"/>
              </w:rPr>
            </w:pPr>
            <w:r>
              <w:rPr>
                <w:sz w:val="22"/>
                <w:szCs w:val="22"/>
              </w:rPr>
              <w:t>1.45</w:t>
            </w:r>
          </w:p>
        </w:tc>
      </w:tr>
      <w:tr w:rsidR="00852EB9" w:rsidRPr="002D5EE6" w:rsidTr="00852EB9">
        <w:trPr>
          <w:trHeight w:val="255"/>
        </w:trPr>
        <w:tc>
          <w:tcPr>
            <w:tcW w:w="1635" w:type="dxa"/>
          </w:tcPr>
          <w:p w:rsidR="00852EB9" w:rsidRPr="002D5EE6" w:rsidRDefault="00852EB9" w:rsidP="00FD1F5D">
            <w:pPr>
              <w:spacing w:line="276" w:lineRule="auto"/>
              <w:rPr>
                <w:sz w:val="22"/>
                <w:szCs w:val="22"/>
              </w:rPr>
            </w:pPr>
          </w:p>
        </w:tc>
        <w:tc>
          <w:tcPr>
            <w:tcW w:w="1428" w:type="dxa"/>
            <w:shd w:val="clear" w:color="auto" w:fill="auto"/>
            <w:noWrap/>
            <w:vAlign w:val="bottom"/>
          </w:tcPr>
          <w:p w:rsidR="00852EB9" w:rsidRPr="002D5EE6" w:rsidRDefault="00852EB9" w:rsidP="00FD1F5D">
            <w:pPr>
              <w:spacing w:line="276" w:lineRule="auto"/>
              <w:rPr>
                <w:sz w:val="22"/>
                <w:szCs w:val="22"/>
              </w:rPr>
            </w:pPr>
            <w:r w:rsidRPr="002D5EE6">
              <w:rPr>
                <w:sz w:val="22"/>
                <w:szCs w:val="22"/>
              </w:rPr>
              <w:t>Female</w:t>
            </w:r>
          </w:p>
        </w:tc>
        <w:tc>
          <w:tcPr>
            <w:tcW w:w="1272" w:type="dxa"/>
            <w:shd w:val="clear" w:color="auto" w:fill="auto"/>
            <w:noWrap/>
            <w:vAlign w:val="bottom"/>
          </w:tcPr>
          <w:p w:rsidR="00852EB9" w:rsidRPr="002D5EE6" w:rsidRDefault="00852EB9" w:rsidP="00FD1F5D">
            <w:pPr>
              <w:spacing w:line="276" w:lineRule="auto"/>
              <w:rPr>
                <w:sz w:val="22"/>
                <w:szCs w:val="22"/>
              </w:rPr>
            </w:pPr>
            <w:r>
              <w:rPr>
                <w:sz w:val="22"/>
                <w:szCs w:val="22"/>
              </w:rPr>
              <w:t>43.5</w:t>
            </w:r>
          </w:p>
        </w:tc>
        <w:tc>
          <w:tcPr>
            <w:tcW w:w="1413" w:type="dxa"/>
            <w:shd w:val="clear" w:color="auto" w:fill="auto"/>
            <w:noWrap/>
            <w:vAlign w:val="bottom"/>
          </w:tcPr>
          <w:p w:rsidR="00852EB9" w:rsidRPr="002D5EE6" w:rsidRDefault="00852EB9" w:rsidP="00FD1F5D">
            <w:pPr>
              <w:spacing w:line="276" w:lineRule="auto"/>
              <w:rPr>
                <w:sz w:val="22"/>
                <w:szCs w:val="22"/>
              </w:rPr>
            </w:pPr>
            <w:r>
              <w:rPr>
                <w:sz w:val="22"/>
                <w:szCs w:val="22"/>
              </w:rPr>
              <w:t>34</w:t>
            </w:r>
          </w:p>
        </w:tc>
        <w:tc>
          <w:tcPr>
            <w:tcW w:w="1135" w:type="dxa"/>
            <w:shd w:val="clear" w:color="auto" w:fill="auto"/>
            <w:noWrap/>
            <w:vAlign w:val="bottom"/>
          </w:tcPr>
          <w:p w:rsidR="00852EB9" w:rsidRPr="002D5EE6" w:rsidRDefault="00852EB9" w:rsidP="00FD1F5D">
            <w:pPr>
              <w:spacing w:line="276" w:lineRule="auto"/>
              <w:rPr>
                <w:sz w:val="22"/>
                <w:szCs w:val="22"/>
              </w:rPr>
            </w:pPr>
            <w:r>
              <w:rPr>
                <w:sz w:val="22"/>
                <w:szCs w:val="22"/>
              </w:rPr>
              <w:t>0.78</w:t>
            </w:r>
          </w:p>
        </w:tc>
        <w:tc>
          <w:tcPr>
            <w:tcW w:w="1320" w:type="dxa"/>
            <w:shd w:val="clear" w:color="auto" w:fill="auto"/>
            <w:noWrap/>
            <w:vAlign w:val="bottom"/>
          </w:tcPr>
          <w:p w:rsidR="00852EB9" w:rsidRPr="002D5EE6" w:rsidRDefault="00852EB9" w:rsidP="00FD1F5D">
            <w:pPr>
              <w:spacing w:line="276" w:lineRule="auto"/>
              <w:rPr>
                <w:sz w:val="22"/>
                <w:szCs w:val="22"/>
              </w:rPr>
            </w:pPr>
            <w:r>
              <w:rPr>
                <w:sz w:val="22"/>
                <w:szCs w:val="22"/>
              </w:rPr>
              <w:t>0.54</w:t>
            </w:r>
          </w:p>
        </w:tc>
        <w:tc>
          <w:tcPr>
            <w:tcW w:w="1280" w:type="dxa"/>
            <w:shd w:val="clear" w:color="auto" w:fill="auto"/>
            <w:noWrap/>
            <w:vAlign w:val="bottom"/>
          </w:tcPr>
          <w:p w:rsidR="00852EB9" w:rsidRPr="002D5EE6" w:rsidRDefault="00852EB9" w:rsidP="00FD1F5D">
            <w:pPr>
              <w:spacing w:line="276" w:lineRule="auto"/>
              <w:rPr>
                <w:sz w:val="22"/>
                <w:szCs w:val="22"/>
              </w:rPr>
            </w:pPr>
            <w:r>
              <w:rPr>
                <w:sz w:val="22"/>
                <w:szCs w:val="22"/>
              </w:rPr>
              <w:t>1.09</w:t>
            </w:r>
          </w:p>
        </w:tc>
      </w:tr>
      <w:tr w:rsidR="00852EB9" w:rsidRPr="002D5EE6" w:rsidTr="00852EB9">
        <w:trPr>
          <w:trHeight w:val="255"/>
        </w:trPr>
        <w:tc>
          <w:tcPr>
            <w:tcW w:w="1635" w:type="dxa"/>
          </w:tcPr>
          <w:p w:rsidR="00852EB9" w:rsidRPr="002D5EE6" w:rsidRDefault="00852EB9" w:rsidP="00FD1F5D">
            <w:pPr>
              <w:spacing w:line="276" w:lineRule="auto"/>
              <w:rPr>
                <w:b/>
                <w:bCs/>
                <w:sz w:val="22"/>
                <w:szCs w:val="22"/>
              </w:rPr>
            </w:pPr>
          </w:p>
        </w:tc>
        <w:tc>
          <w:tcPr>
            <w:tcW w:w="1428" w:type="dxa"/>
            <w:shd w:val="clear" w:color="auto" w:fill="auto"/>
            <w:noWrap/>
            <w:vAlign w:val="bottom"/>
          </w:tcPr>
          <w:p w:rsidR="00852EB9" w:rsidRPr="00852EB9" w:rsidRDefault="00852EB9" w:rsidP="00FD1F5D">
            <w:pPr>
              <w:spacing w:line="276" w:lineRule="auto"/>
              <w:rPr>
                <w:bCs/>
                <w:sz w:val="22"/>
                <w:szCs w:val="22"/>
              </w:rPr>
            </w:pPr>
            <w:r w:rsidRPr="00852EB9">
              <w:rPr>
                <w:bCs/>
                <w:sz w:val="22"/>
                <w:szCs w:val="22"/>
              </w:rPr>
              <w:t>Both</w:t>
            </w:r>
          </w:p>
        </w:tc>
        <w:tc>
          <w:tcPr>
            <w:tcW w:w="1272" w:type="dxa"/>
            <w:shd w:val="clear" w:color="auto" w:fill="auto"/>
            <w:noWrap/>
            <w:vAlign w:val="bottom"/>
          </w:tcPr>
          <w:p w:rsidR="00852EB9" w:rsidRPr="002D5EE6" w:rsidRDefault="00852EB9" w:rsidP="00FD1F5D">
            <w:pPr>
              <w:spacing w:line="276" w:lineRule="auto"/>
              <w:rPr>
                <w:sz w:val="22"/>
                <w:szCs w:val="22"/>
              </w:rPr>
            </w:pPr>
            <w:r>
              <w:rPr>
                <w:sz w:val="22"/>
                <w:szCs w:val="22"/>
              </w:rPr>
              <w:t>96.7</w:t>
            </w:r>
          </w:p>
        </w:tc>
        <w:tc>
          <w:tcPr>
            <w:tcW w:w="1413" w:type="dxa"/>
            <w:shd w:val="clear" w:color="auto" w:fill="auto"/>
            <w:noWrap/>
            <w:vAlign w:val="bottom"/>
          </w:tcPr>
          <w:p w:rsidR="00852EB9" w:rsidRPr="002D5EE6" w:rsidRDefault="00852EB9" w:rsidP="00FD1F5D">
            <w:pPr>
              <w:spacing w:line="276" w:lineRule="auto"/>
              <w:rPr>
                <w:sz w:val="22"/>
                <w:szCs w:val="22"/>
              </w:rPr>
            </w:pPr>
            <w:r>
              <w:rPr>
                <w:sz w:val="22"/>
                <w:szCs w:val="22"/>
              </w:rPr>
              <w:t>96</w:t>
            </w:r>
          </w:p>
        </w:tc>
        <w:tc>
          <w:tcPr>
            <w:tcW w:w="1135" w:type="dxa"/>
            <w:shd w:val="clear" w:color="auto" w:fill="auto"/>
            <w:noWrap/>
            <w:vAlign w:val="bottom"/>
          </w:tcPr>
          <w:p w:rsidR="00852EB9" w:rsidRPr="002D5EE6" w:rsidRDefault="00852EB9" w:rsidP="00FD1F5D">
            <w:pPr>
              <w:spacing w:line="276" w:lineRule="auto"/>
              <w:rPr>
                <w:sz w:val="22"/>
                <w:szCs w:val="22"/>
              </w:rPr>
            </w:pPr>
            <w:r>
              <w:rPr>
                <w:sz w:val="22"/>
                <w:szCs w:val="22"/>
              </w:rPr>
              <w:t>0.99</w:t>
            </w:r>
          </w:p>
        </w:tc>
        <w:tc>
          <w:tcPr>
            <w:tcW w:w="1320" w:type="dxa"/>
            <w:shd w:val="clear" w:color="auto" w:fill="auto"/>
            <w:noWrap/>
            <w:vAlign w:val="bottom"/>
          </w:tcPr>
          <w:p w:rsidR="00852EB9" w:rsidRPr="002D5EE6" w:rsidRDefault="00852EB9" w:rsidP="00FD1F5D">
            <w:pPr>
              <w:spacing w:line="276" w:lineRule="auto"/>
              <w:rPr>
                <w:sz w:val="22"/>
                <w:szCs w:val="22"/>
              </w:rPr>
            </w:pPr>
            <w:r>
              <w:rPr>
                <w:sz w:val="22"/>
                <w:szCs w:val="22"/>
              </w:rPr>
              <w:t>0.80</w:t>
            </w:r>
          </w:p>
        </w:tc>
        <w:tc>
          <w:tcPr>
            <w:tcW w:w="1280" w:type="dxa"/>
            <w:shd w:val="clear" w:color="auto" w:fill="auto"/>
            <w:noWrap/>
            <w:vAlign w:val="bottom"/>
          </w:tcPr>
          <w:p w:rsidR="00852EB9" w:rsidRPr="002D5EE6" w:rsidRDefault="00852EB9" w:rsidP="00FD1F5D">
            <w:pPr>
              <w:spacing w:line="276" w:lineRule="auto"/>
              <w:rPr>
                <w:sz w:val="22"/>
                <w:szCs w:val="22"/>
              </w:rPr>
            </w:pPr>
            <w:r>
              <w:rPr>
                <w:sz w:val="22"/>
                <w:szCs w:val="22"/>
              </w:rPr>
              <w:t>1.21</w:t>
            </w:r>
          </w:p>
        </w:tc>
      </w:tr>
      <w:tr w:rsidR="008617DD" w:rsidRPr="002D5EE6" w:rsidTr="00FD1F5D">
        <w:trPr>
          <w:trHeight w:val="255"/>
        </w:trPr>
        <w:tc>
          <w:tcPr>
            <w:tcW w:w="1635" w:type="dxa"/>
          </w:tcPr>
          <w:p w:rsidR="008617DD" w:rsidRPr="00852EB9" w:rsidRDefault="008617DD" w:rsidP="00FD1F5D">
            <w:pPr>
              <w:spacing w:line="276" w:lineRule="auto"/>
              <w:rPr>
                <w:bCs/>
                <w:sz w:val="22"/>
                <w:szCs w:val="22"/>
              </w:rPr>
            </w:pPr>
            <w:r>
              <w:rPr>
                <w:bCs/>
                <w:sz w:val="22"/>
                <w:szCs w:val="22"/>
              </w:rPr>
              <w:t>Lung</w:t>
            </w:r>
          </w:p>
        </w:tc>
        <w:tc>
          <w:tcPr>
            <w:tcW w:w="1428" w:type="dxa"/>
            <w:shd w:val="clear" w:color="auto" w:fill="auto"/>
            <w:noWrap/>
            <w:vAlign w:val="bottom"/>
          </w:tcPr>
          <w:p w:rsidR="008617DD" w:rsidRPr="00852EB9" w:rsidRDefault="008617DD" w:rsidP="00FD1F5D">
            <w:pPr>
              <w:spacing w:line="276" w:lineRule="auto"/>
              <w:rPr>
                <w:bCs/>
                <w:sz w:val="22"/>
                <w:szCs w:val="22"/>
              </w:rPr>
            </w:pPr>
            <w:r w:rsidRPr="00852EB9">
              <w:rPr>
                <w:bCs/>
                <w:sz w:val="22"/>
                <w:szCs w:val="22"/>
              </w:rPr>
              <w:t>Both</w:t>
            </w:r>
          </w:p>
        </w:tc>
        <w:tc>
          <w:tcPr>
            <w:tcW w:w="1272" w:type="dxa"/>
            <w:shd w:val="clear" w:color="auto" w:fill="auto"/>
            <w:noWrap/>
            <w:vAlign w:val="bottom"/>
          </w:tcPr>
          <w:p w:rsidR="008617DD" w:rsidRPr="00852EB9" w:rsidRDefault="008617DD" w:rsidP="00FD1F5D">
            <w:pPr>
              <w:spacing w:line="276" w:lineRule="auto"/>
              <w:rPr>
                <w:sz w:val="22"/>
                <w:szCs w:val="22"/>
              </w:rPr>
            </w:pPr>
            <w:r w:rsidRPr="00852EB9">
              <w:rPr>
                <w:sz w:val="22"/>
                <w:szCs w:val="22"/>
              </w:rPr>
              <w:t>13.3</w:t>
            </w:r>
          </w:p>
        </w:tc>
        <w:tc>
          <w:tcPr>
            <w:tcW w:w="1413" w:type="dxa"/>
            <w:shd w:val="clear" w:color="auto" w:fill="auto"/>
            <w:noWrap/>
            <w:vAlign w:val="bottom"/>
          </w:tcPr>
          <w:p w:rsidR="008617DD" w:rsidRPr="00852EB9" w:rsidRDefault="008617DD" w:rsidP="00FD1F5D">
            <w:pPr>
              <w:spacing w:line="276" w:lineRule="auto"/>
              <w:rPr>
                <w:sz w:val="22"/>
                <w:szCs w:val="22"/>
              </w:rPr>
            </w:pPr>
            <w:r w:rsidRPr="00852EB9">
              <w:rPr>
                <w:sz w:val="22"/>
                <w:szCs w:val="22"/>
              </w:rPr>
              <w:t>15</w:t>
            </w:r>
          </w:p>
        </w:tc>
        <w:tc>
          <w:tcPr>
            <w:tcW w:w="1135" w:type="dxa"/>
            <w:shd w:val="clear" w:color="auto" w:fill="auto"/>
            <w:noWrap/>
            <w:vAlign w:val="bottom"/>
          </w:tcPr>
          <w:p w:rsidR="008617DD" w:rsidRDefault="008617DD" w:rsidP="00FD1F5D">
            <w:pPr>
              <w:spacing w:line="276" w:lineRule="auto"/>
              <w:rPr>
                <w:sz w:val="22"/>
                <w:szCs w:val="22"/>
              </w:rPr>
            </w:pPr>
            <w:r>
              <w:rPr>
                <w:sz w:val="22"/>
                <w:szCs w:val="22"/>
              </w:rPr>
              <w:t>1.13</w:t>
            </w:r>
          </w:p>
        </w:tc>
        <w:tc>
          <w:tcPr>
            <w:tcW w:w="1320" w:type="dxa"/>
            <w:shd w:val="clear" w:color="auto" w:fill="auto"/>
            <w:noWrap/>
            <w:vAlign w:val="bottom"/>
          </w:tcPr>
          <w:p w:rsidR="008617DD" w:rsidRDefault="008617DD" w:rsidP="00FD1F5D">
            <w:pPr>
              <w:spacing w:line="276" w:lineRule="auto"/>
              <w:rPr>
                <w:sz w:val="22"/>
                <w:szCs w:val="22"/>
              </w:rPr>
            </w:pPr>
            <w:r>
              <w:rPr>
                <w:sz w:val="22"/>
                <w:szCs w:val="22"/>
              </w:rPr>
              <w:t>0.63</w:t>
            </w:r>
          </w:p>
        </w:tc>
        <w:tc>
          <w:tcPr>
            <w:tcW w:w="1280" w:type="dxa"/>
            <w:shd w:val="clear" w:color="auto" w:fill="auto"/>
            <w:noWrap/>
            <w:vAlign w:val="bottom"/>
          </w:tcPr>
          <w:p w:rsidR="008617DD" w:rsidRDefault="008617DD" w:rsidP="00FD1F5D">
            <w:pPr>
              <w:spacing w:line="276" w:lineRule="auto"/>
              <w:rPr>
                <w:sz w:val="22"/>
                <w:szCs w:val="22"/>
              </w:rPr>
            </w:pPr>
            <w:r>
              <w:rPr>
                <w:sz w:val="22"/>
                <w:szCs w:val="22"/>
              </w:rPr>
              <w:t>1.86</w:t>
            </w:r>
          </w:p>
        </w:tc>
      </w:tr>
      <w:tr w:rsidR="00852EB9" w:rsidRPr="002D5EE6" w:rsidTr="00852EB9">
        <w:trPr>
          <w:trHeight w:val="255"/>
        </w:trPr>
        <w:tc>
          <w:tcPr>
            <w:tcW w:w="1635" w:type="dxa"/>
          </w:tcPr>
          <w:p w:rsidR="00852EB9" w:rsidRPr="00852EB9" w:rsidRDefault="00852EB9" w:rsidP="00FD1F5D">
            <w:pPr>
              <w:spacing w:line="276" w:lineRule="auto"/>
              <w:rPr>
                <w:sz w:val="22"/>
                <w:szCs w:val="22"/>
              </w:rPr>
            </w:pPr>
            <w:r w:rsidRPr="00852EB9">
              <w:rPr>
                <w:sz w:val="22"/>
                <w:szCs w:val="22"/>
              </w:rPr>
              <w:t>Prostate</w:t>
            </w:r>
          </w:p>
        </w:tc>
        <w:tc>
          <w:tcPr>
            <w:tcW w:w="1428" w:type="dxa"/>
            <w:shd w:val="clear" w:color="auto" w:fill="auto"/>
            <w:vAlign w:val="bottom"/>
            <w:hideMark/>
          </w:tcPr>
          <w:p w:rsidR="00852EB9" w:rsidRPr="00852EB9" w:rsidRDefault="00852EB9" w:rsidP="00FD1F5D">
            <w:pPr>
              <w:spacing w:line="276" w:lineRule="auto"/>
              <w:rPr>
                <w:sz w:val="22"/>
                <w:szCs w:val="22"/>
              </w:rPr>
            </w:pPr>
            <w:r w:rsidRPr="00852EB9">
              <w:rPr>
                <w:sz w:val="22"/>
                <w:szCs w:val="22"/>
              </w:rPr>
              <w:t>Male</w:t>
            </w:r>
          </w:p>
        </w:tc>
        <w:tc>
          <w:tcPr>
            <w:tcW w:w="1272" w:type="dxa"/>
            <w:shd w:val="clear" w:color="auto" w:fill="auto"/>
            <w:noWrap/>
            <w:vAlign w:val="bottom"/>
            <w:hideMark/>
          </w:tcPr>
          <w:p w:rsidR="00852EB9" w:rsidRPr="00852EB9" w:rsidRDefault="00852EB9" w:rsidP="00FD1F5D">
            <w:pPr>
              <w:spacing w:line="276" w:lineRule="auto"/>
              <w:rPr>
                <w:sz w:val="22"/>
                <w:szCs w:val="22"/>
              </w:rPr>
            </w:pPr>
            <w:r w:rsidRPr="00852EB9">
              <w:rPr>
                <w:sz w:val="22"/>
                <w:szCs w:val="22"/>
              </w:rPr>
              <w:t>15.8</w:t>
            </w:r>
          </w:p>
        </w:tc>
        <w:tc>
          <w:tcPr>
            <w:tcW w:w="1413" w:type="dxa"/>
            <w:shd w:val="clear" w:color="auto" w:fill="auto"/>
            <w:noWrap/>
            <w:vAlign w:val="bottom"/>
            <w:hideMark/>
          </w:tcPr>
          <w:p w:rsidR="00852EB9" w:rsidRPr="00852EB9" w:rsidRDefault="00852EB9" w:rsidP="00FD1F5D">
            <w:pPr>
              <w:spacing w:line="276" w:lineRule="auto"/>
              <w:rPr>
                <w:sz w:val="22"/>
                <w:szCs w:val="22"/>
              </w:rPr>
            </w:pPr>
            <w:r w:rsidRPr="00852EB9">
              <w:rPr>
                <w:sz w:val="22"/>
                <w:szCs w:val="22"/>
              </w:rPr>
              <w:t>13</w:t>
            </w:r>
          </w:p>
        </w:tc>
        <w:tc>
          <w:tcPr>
            <w:tcW w:w="1135" w:type="dxa"/>
            <w:shd w:val="clear" w:color="auto" w:fill="auto"/>
            <w:noWrap/>
            <w:vAlign w:val="bottom"/>
            <w:hideMark/>
          </w:tcPr>
          <w:p w:rsidR="00852EB9" w:rsidRPr="002D5EE6" w:rsidRDefault="00852EB9" w:rsidP="00FD1F5D">
            <w:pPr>
              <w:spacing w:line="276" w:lineRule="auto"/>
              <w:rPr>
                <w:sz w:val="22"/>
                <w:szCs w:val="22"/>
              </w:rPr>
            </w:pPr>
            <w:r>
              <w:rPr>
                <w:sz w:val="22"/>
                <w:szCs w:val="22"/>
              </w:rPr>
              <w:t>0.82</w:t>
            </w:r>
          </w:p>
        </w:tc>
        <w:tc>
          <w:tcPr>
            <w:tcW w:w="1320" w:type="dxa"/>
            <w:shd w:val="clear" w:color="auto" w:fill="auto"/>
            <w:noWrap/>
            <w:vAlign w:val="bottom"/>
            <w:hideMark/>
          </w:tcPr>
          <w:p w:rsidR="00852EB9" w:rsidRPr="002D5EE6" w:rsidRDefault="00852EB9" w:rsidP="00FD1F5D">
            <w:pPr>
              <w:spacing w:line="276" w:lineRule="auto"/>
              <w:rPr>
                <w:sz w:val="22"/>
                <w:szCs w:val="22"/>
              </w:rPr>
            </w:pPr>
            <w:r>
              <w:rPr>
                <w:sz w:val="22"/>
                <w:szCs w:val="22"/>
              </w:rPr>
              <w:t>0.44</w:t>
            </w:r>
          </w:p>
        </w:tc>
        <w:tc>
          <w:tcPr>
            <w:tcW w:w="1280" w:type="dxa"/>
            <w:shd w:val="clear" w:color="auto" w:fill="auto"/>
            <w:noWrap/>
            <w:vAlign w:val="bottom"/>
            <w:hideMark/>
          </w:tcPr>
          <w:p w:rsidR="00852EB9" w:rsidRPr="002D5EE6" w:rsidRDefault="00852EB9" w:rsidP="00FD1F5D">
            <w:pPr>
              <w:spacing w:line="276" w:lineRule="auto"/>
              <w:rPr>
                <w:sz w:val="22"/>
                <w:szCs w:val="22"/>
              </w:rPr>
            </w:pPr>
            <w:r>
              <w:rPr>
                <w:sz w:val="22"/>
                <w:szCs w:val="22"/>
              </w:rPr>
              <w:t>1.41</w:t>
            </w:r>
          </w:p>
        </w:tc>
      </w:tr>
      <w:tr w:rsidR="00852EB9" w:rsidRPr="002D5EE6" w:rsidTr="00852EB9">
        <w:trPr>
          <w:trHeight w:val="255"/>
        </w:trPr>
        <w:tc>
          <w:tcPr>
            <w:tcW w:w="1635" w:type="dxa"/>
          </w:tcPr>
          <w:p w:rsidR="00852EB9" w:rsidRPr="00852EB9" w:rsidRDefault="008617DD" w:rsidP="00FD1F5D">
            <w:pPr>
              <w:spacing w:line="276" w:lineRule="auto"/>
              <w:rPr>
                <w:bCs/>
                <w:sz w:val="22"/>
                <w:szCs w:val="22"/>
              </w:rPr>
            </w:pPr>
            <w:r>
              <w:rPr>
                <w:bCs/>
                <w:sz w:val="22"/>
                <w:szCs w:val="22"/>
              </w:rPr>
              <w:t>Colorectal</w:t>
            </w:r>
          </w:p>
        </w:tc>
        <w:tc>
          <w:tcPr>
            <w:tcW w:w="1428" w:type="dxa"/>
            <w:shd w:val="clear" w:color="auto" w:fill="auto"/>
            <w:noWrap/>
            <w:vAlign w:val="bottom"/>
          </w:tcPr>
          <w:p w:rsidR="00852EB9" w:rsidRPr="00852EB9" w:rsidRDefault="00852EB9" w:rsidP="00FD1F5D">
            <w:pPr>
              <w:spacing w:line="276" w:lineRule="auto"/>
              <w:rPr>
                <w:bCs/>
                <w:sz w:val="22"/>
                <w:szCs w:val="22"/>
              </w:rPr>
            </w:pPr>
            <w:r w:rsidRPr="00852EB9">
              <w:rPr>
                <w:bCs/>
                <w:sz w:val="22"/>
                <w:szCs w:val="22"/>
              </w:rPr>
              <w:t>Both</w:t>
            </w:r>
          </w:p>
        </w:tc>
        <w:tc>
          <w:tcPr>
            <w:tcW w:w="1272" w:type="dxa"/>
            <w:shd w:val="clear" w:color="auto" w:fill="auto"/>
            <w:noWrap/>
            <w:vAlign w:val="bottom"/>
          </w:tcPr>
          <w:p w:rsidR="00852EB9" w:rsidRPr="00852EB9" w:rsidRDefault="00852EB9" w:rsidP="00FD1F5D">
            <w:pPr>
              <w:spacing w:line="276" w:lineRule="auto"/>
              <w:rPr>
                <w:sz w:val="22"/>
                <w:szCs w:val="22"/>
              </w:rPr>
            </w:pPr>
            <w:r w:rsidRPr="00852EB9">
              <w:rPr>
                <w:sz w:val="22"/>
                <w:szCs w:val="22"/>
              </w:rPr>
              <w:t>8.0</w:t>
            </w:r>
          </w:p>
        </w:tc>
        <w:tc>
          <w:tcPr>
            <w:tcW w:w="1413" w:type="dxa"/>
            <w:shd w:val="clear" w:color="auto" w:fill="auto"/>
            <w:noWrap/>
            <w:vAlign w:val="bottom"/>
          </w:tcPr>
          <w:p w:rsidR="00852EB9" w:rsidRPr="00852EB9" w:rsidRDefault="008617DD" w:rsidP="00FD1F5D">
            <w:pPr>
              <w:spacing w:line="276" w:lineRule="auto"/>
              <w:rPr>
                <w:sz w:val="22"/>
                <w:szCs w:val="22"/>
              </w:rPr>
            </w:pPr>
            <w:r>
              <w:rPr>
                <w:sz w:val="22"/>
                <w:szCs w:val="22"/>
              </w:rPr>
              <w:t>13</w:t>
            </w:r>
          </w:p>
        </w:tc>
        <w:tc>
          <w:tcPr>
            <w:tcW w:w="1135" w:type="dxa"/>
            <w:shd w:val="clear" w:color="auto" w:fill="auto"/>
            <w:noWrap/>
            <w:vAlign w:val="bottom"/>
          </w:tcPr>
          <w:p w:rsidR="00852EB9" w:rsidRDefault="00852EB9" w:rsidP="00FD1F5D">
            <w:pPr>
              <w:spacing w:line="276" w:lineRule="auto"/>
              <w:rPr>
                <w:sz w:val="22"/>
                <w:szCs w:val="22"/>
              </w:rPr>
            </w:pPr>
            <w:r>
              <w:rPr>
                <w:sz w:val="22"/>
                <w:szCs w:val="22"/>
              </w:rPr>
              <w:t>1.38</w:t>
            </w:r>
          </w:p>
        </w:tc>
        <w:tc>
          <w:tcPr>
            <w:tcW w:w="1320" w:type="dxa"/>
            <w:shd w:val="clear" w:color="auto" w:fill="auto"/>
            <w:noWrap/>
            <w:vAlign w:val="bottom"/>
          </w:tcPr>
          <w:p w:rsidR="00852EB9" w:rsidRDefault="00852EB9" w:rsidP="00FD1F5D">
            <w:pPr>
              <w:spacing w:line="276" w:lineRule="auto"/>
              <w:rPr>
                <w:sz w:val="22"/>
                <w:szCs w:val="22"/>
              </w:rPr>
            </w:pPr>
            <w:r>
              <w:rPr>
                <w:sz w:val="22"/>
                <w:szCs w:val="22"/>
              </w:rPr>
              <w:t>0.69</w:t>
            </w:r>
          </w:p>
        </w:tc>
        <w:tc>
          <w:tcPr>
            <w:tcW w:w="1280" w:type="dxa"/>
            <w:shd w:val="clear" w:color="auto" w:fill="auto"/>
            <w:noWrap/>
            <w:vAlign w:val="bottom"/>
          </w:tcPr>
          <w:p w:rsidR="00852EB9" w:rsidRDefault="00852EB9" w:rsidP="00FD1F5D">
            <w:pPr>
              <w:spacing w:line="276" w:lineRule="auto"/>
              <w:rPr>
                <w:sz w:val="22"/>
                <w:szCs w:val="22"/>
              </w:rPr>
            </w:pPr>
            <w:r>
              <w:rPr>
                <w:sz w:val="22"/>
                <w:szCs w:val="22"/>
              </w:rPr>
              <w:t>2.47</w:t>
            </w:r>
          </w:p>
        </w:tc>
      </w:tr>
      <w:tr w:rsidR="008617DD" w:rsidRPr="002D5EE6" w:rsidTr="00FD1F5D">
        <w:trPr>
          <w:trHeight w:val="255"/>
        </w:trPr>
        <w:tc>
          <w:tcPr>
            <w:tcW w:w="1635" w:type="dxa"/>
          </w:tcPr>
          <w:p w:rsidR="008617DD" w:rsidRPr="00852EB9" w:rsidRDefault="008617DD" w:rsidP="00FD1F5D">
            <w:pPr>
              <w:spacing w:line="276" w:lineRule="auto"/>
              <w:rPr>
                <w:sz w:val="22"/>
                <w:szCs w:val="22"/>
              </w:rPr>
            </w:pPr>
            <w:r w:rsidRPr="00852EB9">
              <w:rPr>
                <w:sz w:val="22"/>
                <w:szCs w:val="22"/>
              </w:rPr>
              <w:t>Female Breast</w:t>
            </w:r>
          </w:p>
        </w:tc>
        <w:tc>
          <w:tcPr>
            <w:tcW w:w="1428" w:type="dxa"/>
            <w:shd w:val="clear" w:color="auto" w:fill="auto"/>
            <w:noWrap/>
            <w:vAlign w:val="bottom"/>
            <w:hideMark/>
          </w:tcPr>
          <w:p w:rsidR="008617DD" w:rsidRPr="00852EB9" w:rsidRDefault="008617DD" w:rsidP="00FD1F5D">
            <w:pPr>
              <w:spacing w:line="276" w:lineRule="auto"/>
              <w:rPr>
                <w:sz w:val="22"/>
                <w:szCs w:val="22"/>
              </w:rPr>
            </w:pPr>
            <w:r w:rsidRPr="00852EB9">
              <w:rPr>
                <w:sz w:val="22"/>
                <w:szCs w:val="22"/>
              </w:rPr>
              <w:t>Female</w:t>
            </w:r>
          </w:p>
        </w:tc>
        <w:tc>
          <w:tcPr>
            <w:tcW w:w="1272" w:type="dxa"/>
            <w:shd w:val="clear" w:color="auto" w:fill="auto"/>
            <w:noWrap/>
            <w:vAlign w:val="bottom"/>
            <w:hideMark/>
          </w:tcPr>
          <w:p w:rsidR="008617DD" w:rsidRPr="00852EB9" w:rsidRDefault="008617DD" w:rsidP="00FD1F5D">
            <w:pPr>
              <w:spacing w:line="276" w:lineRule="auto"/>
              <w:rPr>
                <w:sz w:val="22"/>
                <w:szCs w:val="22"/>
              </w:rPr>
            </w:pPr>
            <w:r w:rsidRPr="00852EB9">
              <w:rPr>
                <w:sz w:val="22"/>
                <w:szCs w:val="22"/>
              </w:rPr>
              <w:t>13.1</w:t>
            </w:r>
          </w:p>
        </w:tc>
        <w:tc>
          <w:tcPr>
            <w:tcW w:w="1413" w:type="dxa"/>
            <w:shd w:val="clear" w:color="auto" w:fill="auto"/>
            <w:noWrap/>
            <w:vAlign w:val="bottom"/>
            <w:hideMark/>
          </w:tcPr>
          <w:p w:rsidR="008617DD" w:rsidRPr="00852EB9" w:rsidRDefault="008617DD" w:rsidP="00FD1F5D">
            <w:pPr>
              <w:spacing w:line="276" w:lineRule="auto"/>
              <w:rPr>
                <w:sz w:val="22"/>
                <w:szCs w:val="22"/>
              </w:rPr>
            </w:pPr>
            <w:r w:rsidRPr="00852EB9">
              <w:rPr>
                <w:sz w:val="22"/>
                <w:szCs w:val="22"/>
              </w:rPr>
              <w:t>12</w:t>
            </w:r>
          </w:p>
        </w:tc>
        <w:tc>
          <w:tcPr>
            <w:tcW w:w="1135" w:type="dxa"/>
            <w:shd w:val="clear" w:color="auto" w:fill="auto"/>
            <w:noWrap/>
            <w:vAlign w:val="bottom"/>
            <w:hideMark/>
          </w:tcPr>
          <w:p w:rsidR="008617DD" w:rsidRPr="002D5EE6" w:rsidRDefault="008617DD" w:rsidP="00FD1F5D">
            <w:pPr>
              <w:spacing w:line="276" w:lineRule="auto"/>
              <w:rPr>
                <w:sz w:val="22"/>
                <w:szCs w:val="22"/>
              </w:rPr>
            </w:pPr>
            <w:r>
              <w:rPr>
                <w:sz w:val="22"/>
                <w:szCs w:val="22"/>
              </w:rPr>
              <w:t>0.91</w:t>
            </w:r>
          </w:p>
        </w:tc>
        <w:tc>
          <w:tcPr>
            <w:tcW w:w="1320" w:type="dxa"/>
            <w:shd w:val="clear" w:color="auto" w:fill="auto"/>
            <w:noWrap/>
            <w:vAlign w:val="bottom"/>
            <w:hideMark/>
          </w:tcPr>
          <w:p w:rsidR="008617DD" w:rsidRPr="002D5EE6" w:rsidRDefault="008617DD" w:rsidP="00FD1F5D">
            <w:pPr>
              <w:spacing w:line="276" w:lineRule="auto"/>
              <w:rPr>
                <w:sz w:val="22"/>
                <w:szCs w:val="22"/>
              </w:rPr>
            </w:pPr>
            <w:r>
              <w:rPr>
                <w:sz w:val="22"/>
                <w:szCs w:val="22"/>
              </w:rPr>
              <w:t>0.47</w:t>
            </w:r>
          </w:p>
        </w:tc>
        <w:tc>
          <w:tcPr>
            <w:tcW w:w="1280" w:type="dxa"/>
            <w:shd w:val="clear" w:color="auto" w:fill="auto"/>
            <w:noWrap/>
            <w:vAlign w:val="bottom"/>
            <w:hideMark/>
          </w:tcPr>
          <w:p w:rsidR="008617DD" w:rsidRPr="002D5EE6" w:rsidRDefault="008617DD" w:rsidP="00FD1F5D">
            <w:pPr>
              <w:spacing w:line="276" w:lineRule="auto"/>
              <w:rPr>
                <w:sz w:val="22"/>
                <w:szCs w:val="22"/>
              </w:rPr>
            </w:pPr>
            <w:r>
              <w:rPr>
                <w:sz w:val="22"/>
                <w:szCs w:val="22"/>
              </w:rPr>
              <w:t>1.60</w:t>
            </w:r>
          </w:p>
        </w:tc>
      </w:tr>
      <w:tr w:rsidR="000244FA" w:rsidRPr="002D5EE6" w:rsidTr="00852EB9">
        <w:trPr>
          <w:trHeight w:val="255"/>
        </w:trPr>
        <w:tc>
          <w:tcPr>
            <w:tcW w:w="1635" w:type="dxa"/>
          </w:tcPr>
          <w:p w:rsidR="000244FA" w:rsidRPr="0045059D" w:rsidRDefault="000244FA" w:rsidP="00FD1F5D">
            <w:pPr>
              <w:spacing w:line="276" w:lineRule="auto"/>
              <w:rPr>
                <w:bCs/>
                <w:sz w:val="22"/>
                <w:szCs w:val="22"/>
              </w:rPr>
            </w:pPr>
            <w:r w:rsidRPr="00852EB9">
              <w:rPr>
                <w:bCs/>
                <w:sz w:val="22"/>
                <w:szCs w:val="22"/>
              </w:rPr>
              <w:t>Melanoma</w:t>
            </w:r>
          </w:p>
        </w:tc>
        <w:tc>
          <w:tcPr>
            <w:tcW w:w="1428" w:type="dxa"/>
            <w:shd w:val="clear" w:color="auto" w:fill="auto"/>
            <w:noWrap/>
            <w:vAlign w:val="bottom"/>
          </w:tcPr>
          <w:p w:rsidR="000244FA" w:rsidRPr="0045059D" w:rsidRDefault="000244FA" w:rsidP="00FD1F5D">
            <w:pPr>
              <w:spacing w:line="276" w:lineRule="auto"/>
              <w:rPr>
                <w:bCs/>
                <w:sz w:val="22"/>
                <w:szCs w:val="22"/>
              </w:rPr>
            </w:pPr>
            <w:r w:rsidRPr="00852EB9">
              <w:rPr>
                <w:bCs/>
                <w:sz w:val="22"/>
                <w:szCs w:val="22"/>
              </w:rPr>
              <w:t>Both</w:t>
            </w:r>
          </w:p>
        </w:tc>
        <w:tc>
          <w:tcPr>
            <w:tcW w:w="1272" w:type="dxa"/>
            <w:shd w:val="clear" w:color="auto" w:fill="auto"/>
            <w:noWrap/>
            <w:vAlign w:val="bottom"/>
          </w:tcPr>
          <w:p w:rsidR="000244FA" w:rsidRPr="0045059D" w:rsidRDefault="000244FA" w:rsidP="00FD1F5D">
            <w:pPr>
              <w:spacing w:line="276" w:lineRule="auto"/>
              <w:rPr>
                <w:sz w:val="22"/>
                <w:szCs w:val="22"/>
              </w:rPr>
            </w:pPr>
            <w:r w:rsidRPr="00852EB9">
              <w:rPr>
                <w:sz w:val="22"/>
                <w:szCs w:val="22"/>
              </w:rPr>
              <w:t>5.1</w:t>
            </w:r>
          </w:p>
        </w:tc>
        <w:tc>
          <w:tcPr>
            <w:tcW w:w="1413" w:type="dxa"/>
            <w:shd w:val="clear" w:color="auto" w:fill="auto"/>
            <w:noWrap/>
            <w:vAlign w:val="bottom"/>
          </w:tcPr>
          <w:p w:rsidR="000244FA" w:rsidRPr="0045059D" w:rsidRDefault="000244FA" w:rsidP="00FD1F5D">
            <w:pPr>
              <w:spacing w:line="276" w:lineRule="auto"/>
              <w:rPr>
                <w:sz w:val="22"/>
                <w:szCs w:val="22"/>
              </w:rPr>
            </w:pPr>
            <w:r w:rsidRPr="00852EB9">
              <w:rPr>
                <w:sz w:val="22"/>
                <w:szCs w:val="22"/>
              </w:rPr>
              <w:t>6</w:t>
            </w:r>
          </w:p>
        </w:tc>
        <w:tc>
          <w:tcPr>
            <w:tcW w:w="1135" w:type="dxa"/>
            <w:shd w:val="clear" w:color="auto" w:fill="auto"/>
            <w:noWrap/>
            <w:vAlign w:val="bottom"/>
          </w:tcPr>
          <w:p w:rsidR="000244FA" w:rsidRPr="0045059D" w:rsidRDefault="000244FA" w:rsidP="00FD1F5D">
            <w:pPr>
              <w:spacing w:line="276" w:lineRule="auto"/>
              <w:rPr>
                <w:sz w:val="22"/>
                <w:szCs w:val="22"/>
              </w:rPr>
            </w:pPr>
            <w:r>
              <w:rPr>
                <w:sz w:val="22"/>
                <w:szCs w:val="22"/>
              </w:rPr>
              <w:t>1.17</w:t>
            </w:r>
          </w:p>
        </w:tc>
        <w:tc>
          <w:tcPr>
            <w:tcW w:w="1320" w:type="dxa"/>
            <w:shd w:val="clear" w:color="auto" w:fill="auto"/>
            <w:noWrap/>
            <w:vAlign w:val="bottom"/>
          </w:tcPr>
          <w:p w:rsidR="000244FA" w:rsidRPr="0045059D" w:rsidRDefault="000244FA" w:rsidP="00FD1F5D">
            <w:pPr>
              <w:spacing w:line="276" w:lineRule="auto"/>
              <w:rPr>
                <w:sz w:val="22"/>
                <w:szCs w:val="22"/>
              </w:rPr>
            </w:pPr>
            <w:r>
              <w:rPr>
                <w:sz w:val="22"/>
                <w:szCs w:val="22"/>
              </w:rPr>
              <w:t>0.43</w:t>
            </w:r>
          </w:p>
        </w:tc>
        <w:tc>
          <w:tcPr>
            <w:tcW w:w="1280" w:type="dxa"/>
            <w:shd w:val="clear" w:color="auto" w:fill="auto"/>
            <w:noWrap/>
            <w:vAlign w:val="bottom"/>
          </w:tcPr>
          <w:p w:rsidR="000244FA" w:rsidRPr="0045059D" w:rsidRDefault="000244FA" w:rsidP="00FD1F5D">
            <w:pPr>
              <w:spacing w:line="276" w:lineRule="auto"/>
              <w:rPr>
                <w:sz w:val="22"/>
                <w:szCs w:val="22"/>
              </w:rPr>
            </w:pPr>
            <w:r>
              <w:rPr>
                <w:sz w:val="22"/>
                <w:szCs w:val="22"/>
              </w:rPr>
              <w:t>2.55</w:t>
            </w:r>
          </w:p>
        </w:tc>
      </w:tr>
      <w:tr w:rsidR="000244FA" w:rsidRPr="002D5EE6" w:rsidTr="00852EB9">
        <w:trPr>
          <w:trHeight w:val="255"/>
        </w:trPr>
        <w:tc>
          <w:tcPr>
            <w:tcW w:w="1635" w:type="dxa"/>
          </w:tcPr>
          <w:p w:rsidR="000244FA" w:rsidRPr="00852EB9" w:rsidRDefault="000244FA" w:rsidP="00FD1F5D">
            <w:pPr>
              <w:spacing w:line="276" w:lineRule="auto"/>
              <w:rPr>
                <w:bCs/>
                <w:sz w:val="22"/>
                <w:szCs w:val="22"/>
              </w:rPr>
            </w:pPr>
            <w:r w:rsidRPr="00852EB9">
              <w:rPr>
                <w:bCs/>
                <w:sz w:val="22"/>
                <w:szCs w:val="22"/>
              </w:rPr>
              <w:t>Uterus</w:t>
            </w:r>
          </w:p>
        </w:tc>
        <w:tc>
          <w:tcPr>
            <w:tcW w:w="1428" w:type="dxa"/>
            <w:shd w:val="clear" w:color="auto" w:fill="auto"/>
            <w:noWrap/>
            <w:vAlign w:val="bottom"/>
          </w:tcPr>
          <w:p w:rsidR="000244FA" w:rsidRPr="00852EB9" w:rsidRDefault="000244FA" w:rsidP="00FD1F5D">
            <w:pPr>
              <w:spacing w:line="276" w:lineRule="auto"/>
              <w:rPr>
                <w:bCs/>
                <w:sz w:val="22"/>
                <w:szCs w:val="22"/>
              </w:rPr>
            </w:pPr>
            <w:r w:rsidRPr="00852EB9">
              <w:rPr>
                <w:bCs/>
                <w:sz w:val="22"/>
                <w:szCs w:val="22"/>
              </w:rPr>
              <w:t>Female</w:t>
            </w:r>
          </w:p>
        </w:tc>
        <w:tc>
          <w:tcPr>
            <w:tcW w:w="1272" w:type="dxa"/>
            <w:shd w:val="clear" w:color="auto" w:fill="auto"/>
            <w:noWrap/>
            <w:vAlign w:val="bottom"/>
          </w:tcPr>
          <w:p w:rsidR="000244FA" w:rsidRPr="00852EB9" w:rsidRDefault="000244FA" w:rsidP="00FD1F5D">
            <w:pPr>
              <w:spacing w:line="276" w:lineRule="auto"/>
              <w:rPr>
                <w:sz w:val="22"/>
                <w:szCs w:val="22"/>
              </w:rPr>
            </w:pPr>
            <w:r w:rsidRPr="00852EB9">
              <w:rPr>
                <w:sz w:val="22"/>
                <w:szCs w:val="22"/>
              </w:rPr>
              <w:t>3.2</w:t>
            </w:r>
          </w:p>
        </w:tc>
        <w:tc>
          <w:tcPr>
            <w:tcW w:w="1413" w:type="dxa"/>
            <w:shd w:val="clear" w:color="auto" w:fill="auto"/>
            <w:noWrap/>
            <w:vAlign w:val="bottom"/>
          </w:tcPr>
          <w:p w:rsidR="000244FA" w:rsidRPr="00852EB9" w:rsidRDefault="000244FA" w:rsidP="00FD1F5D">
            <w:pPr>
              <w:spacing w:line="276" w:lineRule="auto"/>
              <w:rPr>
                <w:sz w:val="22"/>
                <w:szCs w:val="22"/>
              </w:rPr>
            </w:pPr>
            <w:r w:rsidRPr="00852EB9">
              <w:rPr>
                <w:sz w:val="22"/>
                <w:szCs w:val="22"/>
              </w:rPr>
              <w:t>5</w:t>
            </w:r>
          </w:p>
        </w:tc>
        <w:tc>
          <w:tcPr>
            <w:tcW w:w="1135" w:type="dxa"/>
            <w:shd w:val="clear" w:color="auto" w:fill="auto"/>
            <w:noWrap/>
            <w:vAlign w:val="bottom"/>
          </w:tcPr>
          <w:p w:rsidR="000244FA" w:rsidRDefault="000244FA" w:rsidP="00FD1F5D">
            <w:pPr>
              <w:spacing w:line="276" w:lineRule="auto"/>
              <w:rPr>
                <w:sz w:val="22"/>
                <w:szCs w:val="22"/>
              </w:rPr>
            </w:pPr>
            <w:r>
              <w:rPr>
                <w:sz w:val="22"/>
                <w:szCs w:val="22"/>
              </w:rPr>
              <w:t>1.57</w:t>
            </w:r>
          </w:p>
        </w:tc>
        <w:tc>
          <w:tcPr>
            <w:tcW w:w="1320" w:type="dxa"/>
            <w:shd w:val="clear" w:color="auto" w:fill="auto"/>
            <w:noWrap/>
            <w:vAlign w:val="bottom"/>
          </w:tcPr>
          <w:p w:rsidR="000244FA" w:rsidRDefault="000244FA" w:rsidP="00FD1F5D">
            <w:pPr>
              <w:spacing w:line="276" w:lineRule="auto"/>
              <w:rPr>
                <w:sz w:val="22"/>
                <w:szCs w:val="22"/>
              </w:rPr>
            </w:pPr>
            <w:r>
              <w:rPr>
                <w:sz w:val="22"/>
                <w:szCs w:val="22"/>
              </w:rPr>
              <w:t>0.51</w:t>
            </w:r>
          </w:p>
        </w:tc>
        <w:tc>
          <w:tcPr>
            <w:tcW w:w="1280" w:type="dxa"/>
            <w:shd w:val="clear" w:color="auto" w:fill="auto"/>
            <w:noWrap/>
            <w:vAlign w:val="bottom"/>
          </w:tcPr>
          <w:p w:rsidR="000244FA" w:rsidRDefault="000244FA" w:rsidP="00D821F3">
            <w:pPr>
              <w:spacing w:line="276" w:lineRule="auto"/>
              <w:rPr>
                <w:sz w:val="22"/>
                <w:szCs w:val="22"/>
              </w:rPr>
            </w:pPr>
            <w:r>
              <w:rPr>
                <w:sz w:val="22"/>
                <w:szCs w:val="22"/>
              </w:rPr>
              <w:t>3.67</w:t>
            </w:r>
          </w:p>
        </w:tc>
      </w:tr>
    </w:tbl>
    <w:p w:rsidR="00852EB9" w:rsidRPr="002D5EE6" w:rsidRDefault="00B223DB" w:rsidP="00852EB9">
      <w:pPr>
        <w:spacing w:line="276" w:lineRule="auto"/>
        <w:rPr>
          <w:sz w:val="22"/>
          <w:szCs w:val="22"/>
        </w:rPr>
      </w:pPr>
      <w:r>
        <w:rPr>
          <w:sz w:val="22"/>
          <w:szCs w:val="22"/>
        </w:rPr>
        <w:t>* 2005</w:t>
      </w:r>
      <w:r w:rsidR="00852EB9" w:rsidRPr="002D5EE6">
        <w:rPr>
          <w:sz w:val="22"/>
          <w:szCs w:val="22"/>
        </w:rPr>
        <w:t xml:space="preserve">-2011 NHSCR data </w:t>
      </w:r>
      <w:r w:rsidR="00DA3A61">
        <w:rPr>
          <w:sz w:val="22"/>
          <w:szCs w:val="22"/>
        </w:rPr>
        <w:t xml:space="preserve">for the whole state </w:t>
      </w:r>
      <w:r w:rsidR="00852EB9" w:rsidRPr="002D5EE6">
        <w:rPr>
          <w:sz w:val="22"/>
          <w:szCs w:val="22"/>
        </w:rPr>
        <w:t xml:space="preserve">are used to derive expected cases in </w:t>
      </w:r>
      <w:r w:rsidR="00852EB9">
        <w:rPr>
          <w:sz w:val="22"/>
          <w:szCs w:val="22"/>
        </w:rPr>
        <w:t>Andover</w:t>
      </w:r>
      <w:r w:rsidR="00852EB9" w:rsidRPr="002D5EE6">
        <w:rPr>
          <w:sz w:val="22"/>
          <w:szCs w:val="22"/>
        </w:rPr>
        <w:t xml:space="preserve"> town</w:t>
      </w:r>
    </w:p>
    <w:p w:rsidR="00852EB9" w:rsidRDefault="00852EB9" w:rsidP="00852EB9">
      <w:pPr>
        <w:spacing w:line="276" w:lineRule="auto"/>
        <w:rPr>
          <w:sz w:val="22"/>
          <w:szCs w:val="22"/>
        </w:rPr>
      </w:pPr>
      <w:r>
        <w:rPr>
          <w:sz w:val="22"/>
          <w:szCs w:val="22"/>
        </w:rPr>
        <w:t>** 2005</w:t>
      </w:r>
      <w:r w:rsidRPr="002D5EE6">
        <w:rPr>
          <w:sz w:val="22"/>
          <w:szCs w:val="22"/>
        </w:rPr>
        <w:t xml:space="preserve">-2011 </w:t>
      </w:r>
      <w:r w:rsidR="00DA3A61">
        <w:rPr>
          <w:sz w:val="22"/>
          <w:szCs w:val="22"/>
        </w:rPr>
        <w:t>cancer</w:t>
      </w:r>
      <w:r w:rsidR="00161D0D">
        <w:rPr>
          <w:sz w:val="22"/>
          <w:szCs w:val="22"/>
        </w:rPr>
        <w:t xml:space="preserve"> case</w:t>
      </w:r>
      <w:r w:rsidR="00DA3A61">
        <w:rPr>
          <w:sz w:val="22"/>
          <w:szCs w:val="22"/>
        </w:rPr>
        <w:t xml:space="preserve">s in Andover </w:t>
      </w:r>
      <w:r w:rsidR="00161D0D">
        <w:rPr>
          <w:sz w:val="22"/>
          <w:szCs w:val="22"/>
        </w:rPr>
        <w:t xml:space="preserve">that were </w:t>
      </w:r>
      <w:r w:rsidR="00DA3A61">
        <w:rPr>
          <w:sz w:val="22"/>
          <w:szCs w:val="22"/>
        </w:rPr>
        <w:t xml:space="preserve">identified through </w:t>
      </w:r>
      <w:r w:rsidRPr="002D5EE6">
        <w:rPr>
          <w:sz w:val="22"/>
          <w:szCs w:val="22"/>
        </w:rPr>
        <w:t>NHSCR</w:t>
      </w:r>
    </w:p>
    <w:p w:rsidR="002D6265" w:rsidRDefault="00852EB9">
      <w:pPr>
        <w:spacing w:after="200" w:line="276" w:lineRule="auto"/>
      </w:pPr>
      <w:r w:rsidRPr="002D5EE6">
        <w:rPr>
          <w:sz w:val="22"/>
          <w:szCs w:val="22"/>
        </w:rPr>
        <w:t>SIR= Standard</w:t>
      </w:r>
      <w:r w:rsidR="003322D6">
        <w:rPr>
          <w:sz w:val="22"/>
          <w:szCs w:val="22"/>
        </w:rPr>
        <w:t>ized</w:t>
      </w:r>
      <w:r w:rsidRPr="002D5EE6">
        <w:rPr>
          <w:sz w:val="22"/>
          <w:szCs w:val="22"/>
        </w:rPr>
        <w:t xml:space="preserve"> Incidence Rate Ratio. CI = 95% Confidence Intervals.</w:t>
      </w:r>
      <w:r w:rsidR="002D6265">
        <w:br w:type="page"/>
      </w:r>
    </w:p>
    <w:p w:rsidR="00FB2D0B" w:rsidRDefault="00FB2D0B" w:rsidP="00AC1779">
      <w:pPr>
        <w:spacing w:line="276" w:lineRule="auto"/>
      </w:pPr>
      <w:r w:rsidRPr="00073AD7">
        <w:rPr>
          <w:b/>
        </w:rPr>
        <w:t>DISCUSSION</w:t>
      </w:r>
      <w:r w:rsidRPr="000E1D1D">
        <w:t>:</w:t>
      </w:r>
    </w:p>
    <w:p w:rsidR="00FB2D0B" w:rsidRDefault="00FB2D0B" w:rsidP="00AC1779">
      <w:pPr>
        <w:spacing w:line="276" w:lineRule="auto"/>
      </w:pPr>
    </w:p>
    <w:p w:rsidR="0034002E" w:rsidRPr="000E1D1D" w:rsidRDefault="00D82A65" w:rsidP="00AC1779">
      <w:pPr>
        <w:spacing w:line="276" w:lineRule="auto"/>
      </w:pPr>
      <w:r>
        <w:t xml:space="preserve">From the above analyses, </w:t>
      </w:r>
      <w:r w:rsidR="007D2C89">
        <w:t>o</w:t>
      </w:r>
      <w:r w:rsidR="007D2C89" w:rsidRPr="000E1D1D">
        <w:t>ur</w:t>
      </w:r>
      <w:r w:rsidR="008824F8" w:rsidRPr="000E1D1D">
        <w:t xml:space="preserve"> results suggest that cancer rates </w:t>
      </w:r>
      <w:r w:rsidR="001D2C79">
        <w:t>(overall and 6 types of cancer) were</w:t>
      </w:r>
      <w:r w:rsidR="001D2C79" w:rsidRPr="000E1D1D">
        <w:t xml:space="preserve"> </w:t>
      </w:r>
      <w:r w:rsidR="008824F8" w:rsidRPr="000E1D1D">
        <w:t>within the range of what is expected in comparable populat</w:t>
      </w:r>
      <w:r w:rsidR="002D6265">
        <w:t xml:space="preserve">ions </w:t>
      </w:r>
      <w:r w:rsidR="001D2C79">
        <w:t>in</w:t>
      </w:r>
      <w:r w:rsidR="001D2C79" w:rsidRPr="000E1D1D">
        <w:t xml:space="preserve"> </w:t>
      </w:r>
      <w:r w:rsidR="00046F79">
        <w:t>NH</w:t>
      </w:r>
      <w:r w:rsidR="008824F8" w:rsidRPr="000E1D1D">
        <w:t xml:space="preserve">.  </w:t>
      </w:r>
      <w:r w:rsidR="0034002E" w:rsidRPr="000E1D1D">
        <w:t xml:space="preserve">Statistical estimates are not exact, but these numbers do not look outside of the normal range of variability we see for any particular town. </w:t>
      </w:r>
      <w:r w:rsidR="008824F8" w:rsidRPr="000E1D1D">
        <w:t xml:space="preserve">These results are reassuring, as they suggest that the most likely explanation for </w:t>
      </w:r>
      <w:r w:rsidR="002D6265">
        <w:t xml:space="preserve">the observations </w:t>
      </w:r>
      <w:r w:rsidR="001D2C79">
        <w:t>is</w:t>
      </w:r>
      <w:r w:rsidR="001D2C79" w:rsidRPr="000E1D1D">
        <w:t xml:space="preserve"> </w:t>
      </w:r>
      <w:r w:rsidR="008824F8" w:rsidRPr="000E1D1D">
        <w:t xml:space="preserve">random chance. These analyses do not prove absolutely that there is no issue in </w:t>
      </w:r>
      <w:r w:rsidR="001D2C79">
        <w:t>the</w:t>
      </w:r>
      <w:r w:rsidR="001D2C79" w:rsidRPr="000E1D1D">
        <w:t xml:space="preserve"> </w:t>
      </w:r>
      <w:r w:rsidR="008824F8" w:rsidRPr="000E1D1D">
        <w:t xml:space="preserve">community, but the information does not lead us to believe there is a specific environmental </w:t>
      </w:r>
      <w:r w:rsidR="001D2C79">
        <w:t xml:space="preserve">factor or </w:t>
      </w:r>
      <w:r w:rsidR="008824F8" w:rsidRPr="000E1D1D">
        <w:t xml:space="preserve">concern causing cancer in </w:t>
      </w:r>
      <w:r w:rsidR="001D2C79">
        <w:t>Andover</w:t>
      </w:r>
      <w:r w:rsidR="008824F8" w:rsidRPr="000E1D1D">
        <w:t>.</w:t>
      </w:r>
      <w:r w:rsidR="00AC1779">
        <w:t xml:space="preserve"> </w:t>
      </w:r>
      <w:r w:rsidR="001D2C79">
        <w:t>A</w:t>
      </w:r>
      <w:r w:rsidR="00AC1779">
        <w:t xml:space="preserve"> further in-depth cluster investigation</w:t>
      </w:r>
      <w:r w:rsidR="001D2C79">
        <w:t xml:space="preserve"> is not warranted at this time</w:t>
      </w:r>
      <w:r w:rsidR="00AC1779">
        <w:t xml:space="preserve">. </w:t>
      </w:r>
      <w:r w:rsidR="008824F8" w:rsidRPr="000E1D1D">
        <w:t xml:space="preserve">  </w:t>
      </w:r>
    </w:p>
    <w:p w:rsidR="009F2F31" w:rsidRPr="000E1D1D" w:rsidRDefault="009F2F31" w:rsidP="00AC1779">
      <w:pPr>
        <w:spacing w:line="276" w:lineRule="auto"/>
      </w:pPr>
    </w:p>
    <w:p w:rsidR="0015372A" w:rsidRPr="000E1D1D" w:rsidRDefault="0015372A" w:rsidP="00AC17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rsidRPr="000E1D1D">
        <w:t xml:space="preserve">DHHS relies on the quality of the NHSCR data to conduct descriptive epidemiological analyses for </w:t>
      </w:r>
      <w:r w:rsidR="00F5014D">
        <w:t xml:space="preserve">the </w:t>
      </w:r>
      <w:r w:rsidRPr="000E1D1D">
        <w:t>SIR calculations</w:t>
      </w:r>
      <w:r w:rsidR="00C95EFB">
        <w:t xml:space="preserve"> and </w:t>
      </w:r>
      <w:r w:rsidR="00122827">
        <w:t xml:space="preserve">we believe the quality of </w:t>
      </w:r>
      <w:r w:rsidR="00C95EFB">
        <w:t xml:space="preserve">NH </w:t>
      </w:r>
      <w:r w:rsidR="00122827">
        <w:t>cancer data is very high</w:t>
      </w:r>
      <w:r w:rsidRPr="000E1D1D">
        <w:t>. It should be noted that the SIR analys</w:t>
      </w:r>
      <w:r w:rsidR="0077414C">
        <w:t>e</w:t>
      </w:r>
      <w:r w:rsidRPr="000E1D1D">
        <w:t xml:space="preserve">s performed </w:t>
      </w:r>
      <w:r w:rsidR="0077414C">
        <w:t>were</w:t>
      </w:r>
      <w:r w:rsidR="0077414C" w:rsidRPr="000E1D1D">
        <w:t xml:space="preserve"> </w:t>
      </w:r>
      <w:r w:rsidRPr="000E1D1D">
        <w:t xml:space="preserve">descriptive in nature and </w:t>
      </w:r>
      <w:r w:rsidR="0077414C">
        <w:t>were not</w:t>
      </w:r>
      <w:r w:rsidRPr="000E1D1D">
        <w:t xml:space="preserve"> an in</w:t>
      </w:r>
      <w:r w:rsidRPr="000E1D1D">
        <w:noBreakHyphen/>
        <w:t>depth epidemiolog</w:t>
      </w:r>
      <w:r>
        <w:t>ical study</w:t>
      </w:r>
      <w:r w:rsidR="00122827">
        <w:t xml:space="preserve"> involving personal interviews about cancer risk factors</w:t>
      </w:r>
      <w:r>
        <w:t xml:space="preserve">. </w:t>
      </w:r>
      <w:r w:rsidR="00C95EFB">
        <w:t>W</w:t>
      </w:r>
      <w:r>
        <w:t xml:space="preserve">hile </w:t>
      </w:r>
      <w:r w:rsidR="00F7695B">
        <w:t>SIR approach</w:t>
      </w:r>
      <w:r w:rsidRPr="000E1D1D">
        <w:t xml:space="preserve"> </w:t>
      </w:r>
      <w:r w:rsidR="001D2C79">
        <w:t>has</w:t>
      </w:r>
      <w:r w:rsidR="001D2C79" w:rsidRPr="000E1D1D">
        <w:t xml:space="preserve"> </w:t>
      </w:r>
      <w:r w:rsidRPr="000E1D1D">
        <w:t xml:space="preserve">limitations, </w:t>
      </w:r>
      <w:r>
        <w:t>it</w:t>
      </w:r>
      <w:r w:rsidRPr="000E1D1D">
        <w:t xml:space="preserve"> </w:t>
      </w:r>
      <w:r w:rsidR="0077414C">
        <w:t xml:space="preserve">is a satisfactory public health assessment </w:t>
      </w:r>
      <w:r w:rsidR="00F7695B">
        <w:t xml:space="preserve">in that it can determine </w:t>
      </w:r>
      <w:r w:rsidRPr="000E1D1D">
        <w:t xml:space="preserve">whether </w:t>
      </w:r>
      <w:r w:rsidR="0077414C">
        <w:t>a</w:t>
      </w:r>
      <w:r w:rsidRPr="000E1D1D">
        <w:t xml:space="preserve"> further epidemiological investigation (in depth cancer cluster investigation) </w:t>
      </w:r>
      <w:r w:rsidR="0077414C">
        <w:t>is warranted</w:t>
      </w:r>
      <w:r w:rsidRPr="000E1D1D">
        <w:t>.</w:t>
      </w:r>
      <w:r>
        <w:t xml:space="preserve"> </w:t>
      </w:r>
    </w:p>
    <w:p w:rsidR="0015372A" w:rsidRDefault="0015372A" w:rsidP="00AC1779">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p>
    <w:p w:rsidR="00AD5CCB" w:rsidRDefault="009F2F31" w:rsidP="00AD5CCB">
      <w:pPr>
        <w:spacing w:line="276" w:lineRule="auto"/>
      </w:pPr>
      <w:r w:rsidRPr="000E1D1D">
        <w:rPr>
          <w:color w:val="000000"/>
        </w:rPr>
        <w:t>There are few contaminants pr</w:t>
      </w:r>
      <w:r w:rsidR="0015372A">
        <w:rPr>
          <w:color w:val="000000"/>
        </w:rPr>
        <w:t xml:space="preserve">esent in NH water that have the </w:t>
      </w:r>
      <w:r w:rsidRPr="000E1D1D">
        <w:rPr>
          <w:color w:val="000000"/>
        </w:rPr>
        <w:t xml:space="preserve">potential to cause cancer. People can </w:t>
      </w:r>
      <w:r w:rsidR="0077414C">
        <w:rPr>
          <w:color w:val="000000"/>
        </w:rPr>
        <w:t xml:space="preserve">learn about </w:t>
      </w:r>
      <w:r w:rsidR="0015372A">
        <w:rPr>
          <w:color w:val="000000"/>
        </w:rPr>
        <w:t>the</w:t>
      </w:r>
      <w:r w:rsidR="0077414C">
        <w:rPr>
          <w:color w:val="000000"/>
        </w:rPr>
        <w:t>ir</w:t>
      </w:r>
      <w:r w:rsidR="0015372A">
        <w:rPr>
          <w:color w:val="000000"/>
        </w:rPr>
        <w:t xml:space="preserve"> water quality </w:t>
      </w:r>
      <w:r w:rsidR="0077414C">
        <w:rPr>
          <w:color w:val="000000"/>
        </w:rPr>
        <w:t xml:space="preserve">and level of contamination </w:t>
      </w:r>
      <w:r w:rsidRPr="000E1D1D">
        <w:rPr>
          <w:color w:val="000000"/>
        </w:rPr>
        <w:t xml:space="preserve">by requesting the consumer report from the Andover Village Water </w:t>
      </w:r>
      <w:r w:rsidR="00FB2D0B">
        <w:rPr>
          <w:color w:val="000000"/>
        </w:rPr>
        <w:t>District</w:t>
      </w:r>
      <w:r w:rsidRPr="000E1D1D">
        <w:rPr>
          <w:color w:val="000000"/>
        </w:rPr>
        <w:t xml:space="preserve">. This is a standard annual report </w:t>
      </w:r>
      <w:r w:rsidR="0077414C">
        <w:rPr>
          <w:color w:val="000000"/>
        </w:rPr>
        <w:t>for</w:t>
      </w:r>
      <w:r w:rsidRPr="008E61DE">
        <w:rPr>
          <w:color w:val="000000"/>
        </w:rPr>
        <w:t xml:space="preserve"> all people receiving water from the system. Arsenic, radio</w:t>
      </w:r>
      <w:r w:rsidR="0015372A" w:rsidRPr="008E61DE">
        <w:rPr>
          <w:color w:val="000000"/>
        </w:rPr>
        <w:t>-</w:t>
      </w:r>
      <w:r w:rsidRPr="008E61DE">
        <w:rPr>
          <w:color w:val="000000"/>
        </w:rPr>
        <w:t>active</w:t>
      </w:r>
      <w:r w:rsidR="00FB2D0B">
        <w:rPr>
          <w:color w:val="000000"/>
        </w:rPr>
        <w:t xml:space="preserve"> sub</w:t>
      </w:r>
      <w:r w:rsidR="00F87FD5">
        <w:rPr>
          <w:color w:val="000000"/>
        </w:rPr>
        <w:t>s</w:t>
      </w:r>
      <w:r w:rsidR="00FB2D0B">
        <w:rPr>
          <w:color w:val="000000"/>
        </w:rPr>
        <w:t>tance</w:t>
      </w:r>
      <w:r w:rsidRPr="008E61DE">
        <w:rPr>
          <w:color w:val="000000"/>
        </w:rPr>
        <w:t xml:space="preserve">s, and a few other chemicals involved with by-products of disinfection processes are key contaminants to look at on the report. </w:t>
      </w:r>
      <w:r w:rsidR="008E61DE" w:rsidRPr="008E61DE">
        <w:rPr>
          <w:color w:val="000000"/>
        </w:rPr>
        <w:t xml:space="preserve">We found that since </w:t>
      </w:r>
      <w:r w:rsidR="008E61DE" w:rsidRPr="008E61DE">
        <w:rPr>
          <w:rFonts w:eastAsiaTheme="minorHAnsi"/>
          <w:color w:val="000000"/>
        </w:rPr>
        <w:t xml:space="preserve">1989, the Drinking Water &amp; Groundwater Bureau of the </w:t>
      </w:r>
      <w:r w:rsidR="00046F79">
        <w:rPr>
          <w:rFonts w:eastAsiaTheme="minorHAnsi"/>
          <w:color w:val="000000"/>
        </w:rPr>
        <w:t>NH</w:t>
      </w:r>
      <w:r w:rsidR="008E61DE" w:rsidRPr="008E61DE">
        <w:rPr>
          <w:rFonts w:eastAsiaTheme="minorHAnsi"/>
          <w:color w:val="000000"/>
        </w:rPr>
        <w:t xml:space="preserve"> Department of Environmental Services had not issued any violations for any Safe Drinking Water Act chemical maximum contaminant level (MCL) exceedance to the Andover Village Water District.</w:t>
      </w:r>
      <w:r w:rsidR="008E61DE" w:rsidRPr="008E61DE">
        <w:rPr>
          <w:rFonts w:eastAsiaTheme="minorHAnsi"/>
          <w:color w:val="000000"/>
        </w:rPr>
        <w:br/>
      </w:r>
    </w:p>
    <w:p w:rsidR="009F2F31" w:rsidRPr="00080812" w:rsidRDefault="003365E7" w:rsidP="00AD5CCB">
      <w:pPr>
        <w:spacing w:line="276" w:lineRule="auto"/>
      </w:pPr>
      <w:r>
        <w:t>T</w:t>
      </w:r>
      <w:r w:rsidR="009F2F31" w:rsidRPr="000E1D1D">
        <w:t xml:space="preserve">he ability of </w:t>
      </w:r>
      <w:r w:rsidR="003D71A6" w:rsidRPr="000E1D1D">
        <w:t>water</w:t>
      </w:r>
      <w:r w:rsidR="009F2F31" w:rsidRPr="000E1D1D">
        <w:t xml:space="preserve"> contaminants to cause cancer is dependent on the types, amounts and nature of the chemicals present and their relationship to </w:t>
      </w:r>
      <w:r w:rsidR="0015372A">
        <w:t xml:space="preserve">an exposed individual’s cells. </w:t>
      </w:r>
      <w:r w:rsidR="009F2F31" w:rsidRPr="000E1D1D">
        <w:t xml:space="preserve">The </w:t>
      </w:r>
      <w:r w:rsidR="009F2F31" w:rsidRPr="00080812">
        <w:t>degree of cancer hazard, as defined in a toxicological sense, is dependent on the concentration of a contaminant, the intensity and the duration of the exposure that a person receives. These factors are important issues in the etiology of cancer.  Environmental factors are often implicated as the primary or contributing cause of cancer, however very few have been proven to be the cause of cancer. In fact only 1% to 4% of all cancer mortality can be attributed to environmental factors or pollution, while approximately 75% can be accounted for by personal behavior or lifestyle choices</w:t>
      </w:r>
      <w:r w:rsidR="0015372A" w:rsidRPr="00080812">
        <w:t>.</w:t>
      </w:r>
      <w:r w:rsidR="00957C31">
        <w:rPr>
          <w:rStyle w:val="FootnoteReference"/>
        </w:rPr>
        <w:footnoteReference w:id="4"/>
      </w:r>
      <w:r w:rsidR="00957C31">
        <w:t xml:space="preserve"> </w:t>
      </w:r>
      <w:r w:rsidR="00957C31" w:rsidRPr="00080812">
        <w:t xml:space="preserve"> </w:t>
      </w:r>
      <w:r w:rsidR="009F2F31" w:rsidRPr="00080812">
        <w:t>Current scientific research does not provide an absolute means of separating the effects of factors such as: heredity, gender, hormonal influences, natural occurring carcinogens in plants and animals, synthetic carcinogens, sexual habits and reproductive systems, personal lifestyle, and a whole host of other factors associated with human cancers; from each other in order to pinpoint one cause of cancer.</w:t>
      </w:r>
    </w:p>
    <w:p w:rsidR="00080812" w:rsidRPr="00080812" w:rsidRDefault="00080812" w:rsidP="00AC17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p>
    <w:p w:rsidR="008824F8" w:rsidRPr="00080812" w:rsidRDefault="0034002E" w:rsidP="00AC1779">
      <w:pPr>
        <w:spacing w:line="276" w:lineRule="auto"/>
      </w:pPr>
      <w:r w:rsidRPr="00080812">
        <w:t xml:space="preserve">It is unfortunate when any adult or child develops cancer, regardless of data and statistics, and we appreciate </w:t>
      </w:r>
      <w:r w:rsidR="00A84EC8" w:rsidRPr="00080812">
        <w:t xml:space="preserve">when </w:t>
      </w:r>
      <w:r w:rsidR="007D2C89">
        <w:t>this concern is</w:t>
      </w:r>
      <w:r w:rsidR="007D2C89" w:rsidRPr="00080812">
        <w:t xml:space="preserve"> </w:t>
      </w:r>
      <w:r w:rsidRPr="00080812">
        <w:t xml:space="preserve">brought to our attention.  </w:t>
      </w:r>
    </w:p>
    <w:p w:rsidR="00AD5CCB" w:rsidRDefault="00AD5CCB" w:rsidP="00AD5CCB">
      <w:pPr>
        <w:spacing w:after="200" w:line="276" w:lineRule="auto"/>
        <w:rPr>
          <w:b/>
          <w:bCs/>
        </w:rPr>
      </w:pPr>
    </w:p>
    <w:p w:rsidR="006E2C7C" w:rsidRDefault="00FB2D0B" w:rsidP="00AD5CCB">
      <w:pPr>
        <w:spacing w:after="200" w:line="276" w:lineRule="auto"/>
        <w:rPr>
          <w:bCs/>
        </w:rPr>
      </w:pPr>
      <w:r w:rsidRPr="00073AD7">
        <w:rPr>
          <w:b/>
          <w:bCs/>
        </w:rPr>
        <w:t>RECOMMENDATIONS</w:t>
      </w:r>
      <w:r>
        <w:rPr>
          <w:bCs/>
        </w:rPr>
        <w:t>:</w:t>
      </w:r>
    </w:p>
    <w:p w:rsidR="006E2C7C" w:rsidRPr="000E1D1D" w:rsidRDefault="006E2C7C" w:rsidP="000E1D1D">
      <w:pPr>
        <w:pStyle w:val="xl25"/>
        <w:spacing w:before="0" w:beforeAutospacing="0" w:after="0" w:afterAutospacing="0" w:line="276" w:lineRule="auto"/>
        <w:rPr>
          <w:bCs/>
        </w:rPr>
      </w:pPr>
      <w:r w:rsidRPr="000E1D1D">
        <w:rPr>
          <w:bCs/>
        </w:rPr>
        <w:t xml:space="preserve">The State of </w:t>
      </w:r>
      <w:r w:rsidR="00046F79">
        <w:rPr>
          <w:bCs/>
        </w:rPr>
        <w:t>NH</w:t>
      </w:r>
      <w:r w:rsidRPr="000E1D1D">
        <w:rPr>
          <w:bCs/>
        </w:rPr>
        <w:t xml:space="preserve"> Department of Health and Human Services will</w:t>
      </w:r>
      <w:r w:rsidR="00080812">
        <w:rPr>
          <w:bCs/>
        </w:rPr>
        <w:t xml:space="preserve"> disse</w:t>
      </w:r>
      <w:r w:rsidR="008F5C37">
        <w:rPr>
          <w:bCs/>
        </w:rPr>
        <w:t>minate</w:t>
      </w:r>
      <w:r w:rsidRPr="000E1D1D">
        <w:rPr>
          <w:bCs/>
        </w:rPr>
        <w:t xml:space="preserve"> </w:t>
      </w:r>
      <w:r w:rsidR="00080812" w:rsidRPr="000E1D1D">
        <w:rPr>
          <w:bCs/>
        </w:rPr>
        <w:t xml:space="preserve">the results of this analysis </w:t>
      </w:r>
      <w:r w:rsidR="008F5C37">
        <w:rPr>
          <w:bCs/>
        </w:rPr>
        <w:t>to</w:t>
      </w:r>
      <w:r w:rsidRPr="000E1D1D">
        <w:rPr>
          <w:bCs/>
        </w:rPr>
        <w:t xml:space="preserve"> the concerned citizens of Andover.  We will offer consultation regarding any potential surveillance activities and act as a clearinghouse for health education information to the citizens of Andover.  It is </w:t>
      </w:r>
      <w:r w:rsidR="007D2C89">
        <w:rPr>
          <w:bCs/>
        </w:rPr>
        <w:t>our</w:t>
      </w:r>
      <w:r w:rsidR="007D2C89" w:rsidRPr="000E1D1D">
        <w:rPr>
          <w:bCs/>
        </w:rPr>
        <w:t xml:space="preserve"> </w:t>
      </w:r>
      <w:r w:rsidRPr="000E1D1D">
        <w:rPr>
          <w:bCs/>
        </w:rPr>
        <w:t xml:space="preserve">recommendation that the citizens of Andover </w:t>
      </w:r>
      <w:r w:rsidR="007D2C89">
        <w:rPr>
          <w:bCs/>
        </w:rPr>
        <w:t xml:space="preserve">continue to </w:t>
      </w:r>
      <w:r w:rsidRPr="000E1D1D">
        <w:rPr>
          <w:bCs/>
        </w:rPr>
        <w:t xml:space="preserve">try to reduce their chances of developing cancer by following the main prevention guidelines issued by the American Cancer Society.  In general, those guidelines include: </w:t>
      </w:r>
    </w:p>
    <w:p w:rsidR="006E2C7C" w:rsidRPr="000E1D1D" w:rsidRDefault="006E2C7C" w:rsidP="000E1D1D">
      <w:pPr>
        <w:pStyle w:val="xl25"/>
        <w:spacing w:before="0" w:beforeAutospacing="0" w:after="0" w:afterAutospacing="0" w:line="276" w:lineRule="auto"/>
        <w:rPr>
          <w:bCs/>
        </w:rPr>
      </w:pPr>
    </w:p>
    <w:p w:rsidR="006E2C7C" w:rsidRPr="000E1D1D" w:rsidRDefault="006E2C7C" w:rsidP="00F61D73">
      <w:pPr>
        <w:pStyle w:val="NoSpacing"/>
      </w:pPr>
      <w:proofErr w:type="gramStart"/>
      <w:r w:rsidRPr="000E1D1D">
        <w:t>Cessation of tobacco use.</w:t>
      </w:r>
      <w:proofErr w:type="gramEnd"/>
    </w:p>
    <w:p w:rsidR="006E2C7C" w:rsidRPr="000E1D1D" w:rsidRDefault="006E2C7C" w:rsidP="00F61D73">
      <w:pPr>
        <w:pStyle w:val="NoSpacing"/>
      </w:pPr>
      <w:proofErr w:type="gramStart"/>
      <w:r w:rsidRPr="000E1D1D">
        <w:t>Reduction of excessive alcohol use.</w:t>
      </w:r>
      <w:proofErr w:type="gramEnd"/>
    </w:p>
    <w:p w:rsidR="006E2C7C" w:rsidRPr="000E1D1D" w:rsidRDefault="006E2C7C" w:rsidP="00F61D73">
      <w:pPr>
        <w:pStyle w:val="NoSpacing"/>
      </w:pPr>
      <w:proofErr w:type="gramStart"/>
      <w:r w:rsidRPr="000E1D1D">
        <w:t>Limited or protected exposure to sunlight.</w:t>
      </w:r>
      <w:proofErr w:type="gramEnd"/>
    </w:p>
    <w:p w:rsidR="006E2C7C" w:rsidRPr="000E1D1D" w:rsidRDefault="006E2C7C" w:rsidP="00F61D73">
      <w:pPr>
        <w:pStyle w:val="NoSpacing"/>
      </w:pPr>
      <w:proofErr w:type="gramStart"/>
      <w:r w:rsidRPr="000E1D1D">
        <w:t>Increasing physical activities.</w:t>
      </w:r>
      <w:proofErr w:type="gramEnd"/>
    </w:p>
    <w:p w:rsidR="006E2C7C" w:rsidRPr="000E1D1D" w:rsidRDefault="006E2C7C" w:rsidP="00F61D73">
      <w:pPr>
        <w:pStyle w:val="NoSpacing"/>
      </w:pPr>
      <w:proofErr w:type="gramStart"/>
      <w:r w:rsidRPr="000E1D1D">
        <w:t>Practicing good nutritional habits.</w:t>
      </w:r>
      <w:proofErr w:type="gramEnd"/>
    </w:p>
    <w:p w:rsidR="006E2C7C" w:rsidRPr="000E1D1D" w:rsidRDefault="006E2C7C" w:rsidP="00F61D73">
      <w:pPr>
        <w:pStyle w:val="NoSpacing"/>
      </w:pPr>
      <w:proofErr w:type="gramStart"/>
      <w:r w:rsidRPr="000E1D1D">
        <w:t>Preventing infection from sexually transmitted diseases.</w:t>
      </w:r>
      <w:proofErr w:type="gramEnd"/>
    </w:p>
    <w:p w:rsidR="006E2C7C" w:rsidRPr="000E1D1D" w:rsidRDefault="006E2C7C" w:rsidP="00F61D73">
      <w:pPr>
        <w:pStyle w:val="NoSpacing"/>
      </w:pPr>
      <w:proofErr w:type="gramStart"/>
      <w:r w:rsidRPr="000E1D1D">
        <w:t>Self-examinations for cancers of the breast and skin.</w:t>
      </w:r>
      <w:proofErr w:type="gramEnd"/>
      <w:r w:rsidRPr="000E1D1D">
        <w:t xml:space="preserve"> </w:t>
      </w:r>
    </w:p>
    <w:p w:rsidR="000355D5" w:rsidRDefault="000355D5" w:rsidP="000E1D1D">
      <w:pPr>
        <w:pStyle w:val="xl25"/>
        <w:spacing w:before="0" w:beforeAutospacing="0" w:after="0" w:afterAutospacing="0" w:line="276" w:lineRule="auto"/>
        <w:ind w:left="360"/>
        <w:rPr>
          <w:bCs/>
        </w:rPr>
      </w:pPr>
    </w:p>
    <w:p w:rsidR="00FB2D0B" w:rsidRDefault="00FB2D0B" w:rsidP="000E1D1D">
      <w:pPr>
        <w:pStyle w:val="xl25"/>
        <w:spacing w:before="0" w:beforeAutospacing="0" w:after="0" w:afterAutospacing="0" w:line="276" w:lineRule="auto"/>
        <w:rPr>
          <w:bCs/>
        </w:rPr>
      </w:pPr>
    </w:p>
    <w:p w:rsidR="006E2C7C" w:rsidRPr="000E1D1D" w:rsidRDefault="006E2C7C" w:rsidP="00BB4565">
      <w:pPr>
        <w:spacing w:after="200" w:line="276" w:lineRule="auto"/>
      </w:pPr>
      <w:r w:rsidRPr="000E1D1D">
        <w:t>For more information on cancer or prevention recommendations discussed in this section please contact the following organizations:</w:t>
      </w:r>
    </w:p>
    <w:p w:rsidR="006E2C7C" w:rsidRPr="000E1D1D" w:rsidRDefault="006E2C7C" w:rsidP="000E1D1D">
      <w:pPr>
        <w:pStyle w:val="xl25"/>
        <w:spacing w:before="0" w:beforeAutospacing="0" w:after="0" w:afterAutospacing="0" w:line="276" w:lineRule="auto"/>
        <w:rPr>
          <w:bCs/>
        </w:rPr>
      </w:pPr>
    </w:p>
    <w:p w:rsidR="006E2C7C" w:rsidRPr="000E1D1D" w:rsidRDefault="006E2C7C" w:rsidP="000E1D1D">
      <w:pPr>
        <w:spacing w:line="276" w:lineRule="auto"/>
        <w:rPr>
          <w:u w:val="single"/>
        </w:rPr>
      </w:pPr>
      <w:r w:rsidRPr="000E1D1D">
        <w:rPr>
          <w:u w:val="single"/>
        </w:rPr>
        <w:t>National Cancer Institute</w:t>
      </w:r>
    </w:p>
    <w:p w:rsidR="006E2C7C" w:rsidRDefault="00F61D73" w:rsidP="000E1D1D">
      <w:pPr>
        <w:spacing w:line="276" w:lineRule="auto"/>
      </w:pPr>
      <w:hyperlink r:id="rId11" w:history="1">
        <w:r w:rsidR="008F5C37" w:rsidRPr="00206B5B">
          <w:rPr>
            <w:rStyle w:val="Hyperlink"/>
          </w:rPr>
          <w:t>http://www.cancer.gov/</w:t>
        </w:r>
      </w:hyperlink>
    </w:p>
    <w:p w:rsidR="008F5C37" w:rsidRPr="000E1D1D" w:rsidRDefault="008F5C37" w:rsidP="000E1D1D">
      <w:pPr>
        <w:spacing w:line="276" w:lineRule="auto"/>
      </w:pPr>
    </w:p>
    <w:p w:rsidR="006E2C7C" w:rsidRPr="000E1D1D" w:rsidRDefault="006E2C7C" w:rsidP="000E1D1D">
      <w:pPr>
        <w:spacing w:line="276" w:lineRule="auto"/>
        <w:rPr>
          <w:u w:val="single"/>
        </w:rPr>
      </w:pPr>
      <w:r w:rsidRPr="000E1D1D">
        <w:rPr>
          <w:u w:val="single"/>
        </w:rPr>
        <w:t>American Cancer Society</w:t>
      </w:r>
    </w:p>
    <w:p w:rsidR="006E2C7C" w:rsidRPr="000E1D1D" w:rsidRDefault="00F61D73" w:rsidP="000E1D1D">
      <w:pPr>
        <w:spacing w:line="276" w:lineRule="auto"/>
      </w:pPr>
      <w:hyperlink r:id="rId12" w:history="1">
        <w:r w:rsidR="006E2C7C" w:rsidRPr="000E1D1D">
          <w:rPr>
            <w:rStyle w:val="Hyperlink"/>
          </w:rPr>
          <w:t>http://www.cancer.org/</w:t>
        </w:r>
      </w:hyperlink>
    </w:p>
    <w:p w:rsidR="006E2C7C" w:rsidRPr="000E1D1D" w:rsidRDefault="006E2C7C" w:rsidP="000E1D1D">
      <w:pPr>
        <w:spacing w:line="276" w:lineRule="auto"/>
      </w:pPr>
    </w:p>
    <w:p w:rsidR="006E2C7C" w:rsidRPr="000E1D1D" w:rsidRDefault="008F5C37" w:rsidP="000E1D1D">
      <w:pPr>
        <w:pStyle w:val="xl25"/>
        <w:spacing w:before="0" w:beforeAutospacing="0" w:after="0" w:afterAutospacing="0" w:line="276" w:lineRule="auto"/>
        <w:rPr>
          <w:bCs/>
        </w:rPr>
      </w:pPr>
      <w:r>
        <w:rPr>
          <w:bCs/>
        </w:rPr>
        <w:t xml:space="preserve">CDC: </w:t>
      </w:r>
      <w:r w:rsidR="006E2C7C" w:rsidRPr="000E1D1D">
        <w:rPr>
          <w:bCs/>
        </w:rPr>
        <w:t xml:space="preserve">Centers </w:t>
      </w:r>
      <w:r w:rsidR="00EF2F70">
        <w:rPr>
          <w:bCs/>
        </w:rPr>
        <w:t>for</w:t>
      </w:r>
      <w:r w:rsidR="00EF2F70" w:rsidRPr="000E1D1D">
        <w:rPr>
          <w:bCs/>
        </w:rPr>
        <w:t xml:space="preserve"> </w:t>
      </w:r>
      <w:r w:rsidR="006E2C7C" w:rsidRPr="000E1D1D">
        <w:rPr>
          <w:bCs/>
        </w:rPr>
        <w:t>Disease Control and Prevention</w:t>
      </w:r>
    </w:p>
    <w:p w:rsidR="006E2C7C" w:rsidRDefault="00F61D73" w:rsidP="000E1D1D">
      <w:pPr>
        <w:pStyle w:val="xl25"/>
        <w:spacing w:before="0" w:beforeAutospacing="0" w:after="0" w:afterAutospacing="0" w:line="276" w:lineRule="auto"/>
        <w:rPr>
          <w:rStyle w:val="Hyperlink"/>
          <w:bCs/>
        </w:rPr>
      </w:pPr>
      <w:hyperlink r:id="rId13" w:history="1">
        <w:r w:rsidR="006E2C7C" w:rsidRPr="000E1D1D">
          <w:rPr>
            <w:rStyle w:val="Hyperlink"/>
            <w:bCs/>
          </w:rPr>
          <w:t>http://www.cdc.gov/cancer</w:t>
        </w:r>
      </w:hyperlink>
    </w:p>
    <w:p w:rsidR="008F5C37" w:rsidRDefault="008F5C37" w:rsidP="000E1D1D">
      <w:pPr>
        <w:pStyle w:val="xl25"/>
        <w:spacing w:before="0" w:beforeAutospacing="0" w:after="0" w:afterAutospacing="0" w:line="276" w:lineRule="auto"/>
        <w:rPr>
          <w:rStyle w:val="Hyperlink"/>
          <w:bCs/>
        </w:rPr>
      </w:pPr>
    </w:p>
    <w:p w:rsidR="008F5C37" w:rsidRPr="008F5C37" w:rsidRDefault="008F5C37" w:rsidP="000E1D1D">
      <w:pPr>
        <w:pStyle w:val="xl25"/>
        <w:spacing w:before="0" w:beforeAutospacing="0" w:after="0" w:afterAutospacing="0" w:line="276" w:lineRule="auto"/>
        <w:rPr>
          <w:rStyle w:val="Hyperlink"/>
          <w:bCs/>
          <w:color w:val="auto"/>
          <w:u w:val="none"/>
        </w:rPr>
      </w:pPr>
      <w:r w:rsidRPr="008F5C37">
        <w:rPr>
          <w:rStyle w:val="Hyperlink"/>
          <w:bCs/>
          <w:color w:val="auto"/>
          <w:u w:val="none"/>
        </w:rPr>
        <w:t>Cancer Cluster</w:t>
      </w:r>
      <w:r w:rsidR="007D2C89">
        <w:rPr>
          <w:rStyle w:val="Hyperlink"/>
          <w:bCs/>
          <w:color w:val="auto"/>
          <w:u w:val="none"/>
        </w:rPr>
        <w:t xml:space="preserve"> information:</w:t>
      </w:r>
    </w:p>
    <w:p w:rsidR="00EF402F" w:rsidRDefault="00F61D73" w:rsidP="00F61D73">
      <w:pPr>
        <w:autoSpaceDE w:val="0"/>
        <w:autoSpaceDN w:val="0"/>
        <w:adjustRightInd w:val="0"/>
        <w:rPr>
          <w:rStyle w:val="Hyperlink"/>
          <w:rFonts w:ascii="Helv" w:eastAsiaTheme="minorHAnsi" w:hAnsi="Helv" w:cs="Helv"/>
          <w:sz w:val="20"/>
          <w:szCs w:val="20"/>
        </w:rPr>
      </w:pPr>
      <w:hyperlink r:id="rId14" w:history="1">
        <w:r w:rsidR="008F5C37" w:rsidRPr="00206B5B">
          <w:rPr>
            <w:rStyle w:val="Hyperlink"/>
            <w:rFonts w:ascii="Helv" w:eastAsiaTheme="minorHAnsi" w:hAnsi="Helv" w:cs="Helv"/>
            <w:sz w:val="20"/>
            <w:szCs w:val="20"/>
          </w:rPr>
          <w:t>http://www.cancer.gov/cancertopics/factsheet/Risk/clusters</w:t>
        </w:r>
      </w:hyperlink>
      <w:r w:rsidR="00EF402F">
        <w:rPr>
          <w:rStyle w:val="Hyperlink"/>
          <w:rFonts w:ascii="Helv" w:eastAsiaTheme="minorHAnsi" w:hAnsi="Helv" w:cs="Helv"/>
          <w:sz w:val="20"/>
          <w:szCs w:val="20"/>
        </w:rPr>
        <w:br w:type="page"/>
      </w:r>
    </w:p>
    <w:p w:rsidR="00EF402F" w:rsidRDefault="00EF402F" w:rsidP="008F5C37">
      <w:pPr>
        <w:autoSpaceDE w:val="0"/>
        <w:autoSpaceDN w:val="0"/>
        <w:adjustRightInd w:val="0"/>
        <w:rPr>
          <w:rStyle w:val="Hyperlink"/>
          <w:rFonts w:ascii="Helv" w:eastAsiaTheme="minorHAnsi" w:hAnsi="Helv" w:cs="Helv"/>
          <w:sz w:val="20"/>
          <w:szCs w:val="20"/>
        </w:rPr>
      </w:pPr>
      <w:r w:rsidRPr="00EF402F">
        <w:rPr>
          <w:rStyle w:val="Hyperlink"/>
          <w:rFonts w:ascii="Helv" w:eastAsiaTheme="minorHAnsi" w:hAnsi="Helv" w:cs="Helv"/>
          <w:color w:val="auto"/>
          <w:sz w:val="20"/>
          <w:szCs w:val="20"/>
          <w:u w:val="none"/>
        </w:rPr>
        <w:tab/>
      </w:r>
      <w:r w:rsidRPr="00EF402F">
        <w:rPr>
          <w:rStyle w:val="Hyperlink"/>
          <w:rFonts w:ascii="Helv" w:eastAsiaTheme="minorHAnsi" w:hAnsi="Helv" w:cs="Helv"/>
          <w:color w:val="auto"/>
          <w:sz w:val="20"/>
          <w:szCs w:val="20"/>
          <w:u w:val="none"/>
        </w:rPr>
        <w:tab/>
      </w:r>
      <w:r w:rsidRPr="00EF402F">
        <w:rPr>
          <w:rStyle w:val="Hyperlink"/>
          <w:rFonts w:ascii="Helv" w:eastAsiaTheme="minorHAnsi" w:hAnsi="Helv" w:cs="Helv"/>
          <w:color w:val="auto"/>
          <w:sz w:val="20"/>
          <w:szCs w:val="20"/>
          <w:u w:val="none"/>
        </w:rPr>
        <w:tab/>
      </w:r>
      <w:r w:rsidRPr="00EF402F">
        <w:rPr>
          <w:rStyle w:val="Hyperlink"/>
          <w:rFonts w:ascii="Helv" w:eastAsiaTheme="minorHAnsi" w:hAnsi="Helv" w:cs="Helv"/>
          <w:color w:val="auto"/>
          <w:sz w:val="20"/>
          <w:szCs w:val="20"/>
          <w:u w:val="none"/>
        </w:rPr>
        <w:tab/>
      </w:r>
      <w:r w:rsidRPr="00EF402F">
        <w:rPr>
          <w:rStyle w:val="Hyperlink"/>
          <w:rFonts w:ascii="Helv" w:eastAsiaTheme="minorHAnsi" w:hAnsi="Helv" w:cs="Helv"/>
          <w:color w:val="auto"/>
          <w:sz w:val="20"/>
          <w:szCs w:val="20"/>
          <w:u w:val="none"/>
        </w:rPr>
        <w:tab/>
      </w:r>
      <w:r w:rsidRPr="00EF402F">
        <w:rPr>
          <w:rStyle w:val="Hyperlink"/>
          <w:rFonts w:ascii="Helv" w:eastAsiaTheme="minorHAnsi" w:hAnsi="Helv" w:cs="Helv"/>
          <w:color w:val="auto"/>
          <w:sz w:val="20"/>
          <w:szCs w:val="20"/>
          <w:u w:val="none"/>
        </w:rPr>
        <w:tab/>
      </w:r>
      <w:r w:rsidRPr="00EF402F">
        <w:rPr>
          <w:rStyle w:val="Hyperlink"/>
          <w:rFonts w:ascii="Helv" w:eastAsiaTheme="minorHAnsi" w:hAnsi="Helv" w:cs="Helv"/>
          <w:color w:val="auto"/>
          <w:sz w:val="20"/>
          <w:szCs w:val="20"/>
          <w:u w:val="none"/>
        </w:rPr>
        <w:tab/>
      </w:r>
      <w:r w:rsidRPr="00EF402F">
        <w:rPr>
          <w:rStyle w:val="Hyperlink"/>
          <w:rFonts w:ascii="Helv" w:eastAsiaTheme="minorHAnsi" w:hAnsi="Helv" w:cs="Helv"/>
          <w:color w:val="auto"/>
          <w:sz w:val="20"/>
          <w:szCs w:val="20"/>
          <w:u w:val="none"/>
        </w:rPr>
        <w:tab/>
      </w:r>
      <w:r w:rsidRPr="00EF402F">
        <w:rPr>
          <w:rStyle w:val="Hyperlink"/>
          <w:rFonts w:ascii="Helv" w:eastAsiaTheme="minorHAnsi" w:hAnsi="Helv" w:cs="Helv"/>
          <w:color w:val="auto"/>
          <w:sz w:val="20"/>
          <w:szCs w:val="20"/>
          <w:u w:val="none"/>
        </w:rPr>
        <w:tab/>
      </w:r>
      <w:r w:rsidRPr="00EF402F">
        <w:rPr>
          <w:rStyle w:val="Hyperlink"/>
          <w:rFonts w:ascii="Helv" w:eastAsiaTheme="minorHAnsi" w:hAnsi="Helv" w:cs="Helv"/>
          <w:color w:val="auto"/>
          <w:sz w:val="20"/>
          <w:szCs w:val="20"/>
          <w:u w:val="none"/>
        </w:rPr>
        <w:tab/>
      </w:r>
      <w:r w:rsidRPr="00EF402F">
        <w:rPr>
          <w:rStyle w:val="Hyperlink"/>
          <w:rFonts w:ascii="Helv" w:eastAsiaTheme="minorHAnsi" w:hAnsi="Helv" w:cs="Helv"/>
          <w:color w:val="auto"/>
          <w:sz w:val="20"/>
          <w:szCs w:val="20"/>
          <w:u w:val="none"/>
        </w:rPr>
        <w:tab/>
      </w:r>
    </w:p>
    <w:p w:rsidR="00EF402F" w:rsidRPr="0056048E" w:rsidRDefault="00EF402F" w:rsidP="00485711">
      <w:pPr>
        <w:ind w:right="180"/>
        <w:jc w:val="right"/>
        <w:rPr>
          <w:b/>
        </w:rPr>
      </w:pPr>
      <w:r>
        <w:rPr>
          <w:b/>
        </w:rPr>
        <w:t>B</w:t>
      </w:r>
      <w:r w:rsidRPr="0056048E">
        <w:rPr>
          <w:b/>
        </w:rPr>
        <w:t xml:space="preserve">reast </w:t>
      </w:r>
      <w:r w:rsidR="00FE10CA">
        <w:rPr>
          <w:b/>
        </w:rPr>
        <w:t>C</w:t>
      </w:r>
      <w:r w:rsidR="00FE10CA" w:rsidRPr="0056048E">
        <w:rPr>
          <w:b/>
        </w:rPr>
        <w:t>ancer</w:t>
      </w:r>
      <w:r w:rsidR="00FE10CA">
        <w:rPr>
          <w:b/>
        </w:rPr>
        <w:t xml:space="preserve"> Rates</w:t>
      </w:r>
      <w:r w:rsidRPr="0056048E">
        <w:rPr>
          <w:b/>
        </w:rPr>
        <w:t>, Andover Town</w:t>
      </w:r>
      <w:r w:rsidR="00485711">
        <w:rPr>
          <w:b/>
        </w:rPr>
        <w:t xml:space="preserve">                            </w:t>
      </w:r>
      <w:r w:rsidR="00FE10CA">
        <w:rPr>
          <w:b/>
        </w:rPr>
        <w:t xml:space="preserve"> Addendum</w:t>
      </w:r>
      <w:r w:rsidR="00485711">
        <w:rPr>
          <w:b/>
        </w:rPr>
        <w:t xml:space="preserve"> 1</w:t>
      </w:r>
    </w:p>
    <w:p w:rsidR="00EF402F" w:rsidRDefault="00EF402F" w:rsidP="00EF402F"/>
    <w:p w:rsidR="00EF402F" w:rsidRDefault="00EF402F" w:rsidP="00EF402F">
      <w:r>
        <w:t xml:space="preserve">At the Andover community meeting on October 22, 2014, the data were presented from DHHS inquiries, which showed no evidence of an increased risk of cancer overall, or of invasive breast cancer during 2005-11. Despite the data, there remained some concern among attendees at the meeting who reported knowing many Andover residents who had been diagnosed with breast cancer. Among the discussion, two specific questions arose. </w:t>
      </w:r>
    </w:p>
    <w:p w:rsidR="00EF402F" w:rsidRDefault="00EF402F" w:rsidP="00EF402F"/>
    <w:p w:rsidR="00EF402F" w:rsidRDefault="00EF402F" w:rsidP="00EF402F">
      <w:r>
        <w:t xml:space="preserve">1. Why were data restricted to 2005-2011?  </w:t>
      </w:r>
    </w:p>
    <w:p w:rsidR="00EF402F" w:rsidRDefault="00EF402F" w:rsidP="00EF402F">
      <w:r>
        <w:t xml:space="preserve">The data were initially restricted to a limited, recent time period in order to identify any recent cluster associated with some change in environmental exposure. We have now also considered conducting our analyses for the earlier period for which we have </w:t>
      </w:r>
      <w:r w:rsidR="00FE10CA">
        <w:t xml:space="preserve">cancer registry </w:t>
      </w:r>
      <w:r>
        <w:t xml:space="preserve">data (1995-2004), but we were not able to obtain reliable town population data by age group. Therefore our analyses are </w:t>
      </w:r>
      <w:r w:rsidR="00FE10CA">
        <w:t xml:space="preserve">necessarily </w:t>
      </w:r>
      <w:r>
        <w:t xml:space="preserve">restricted to 2005 forward. </w:t>
      </w:r>
      <w:r w:rsidR="00FE10CA">
        <w:t>We also recognize</w:t>
      </w:r>
      <w:r>
        <w:t xml:space="preserve"> that women diagnosed before 2005 may be doing well </w:t>
      </w:r>
      <w:r w:rsidR="00FE10CA">
        <w:t xml:space="preserve">with treatment, </w:t>
      </w:r>
      <w:r>
        <w:t xml:space="preserve">and </w:t>
      </w:r>
      <w:r w:rsidR="00FE10CA">
        <w:t xml:space="preserve">so </w:t>
      </w:r>
      <w:r>
        <w:t>the numbers of women living with breast cancer in Andover (“prevalent cases”)</w:t>
      </w:r>
      <w:r w:rsidR="00FE10CA">
        <w:t xml:space="preserve"> may contribute to an impression of a substantial burden of breast cancer in the community</w:t>
      </w:r>
      <w:r>
        <w:t>.</w:t>
      </w:r>
    </w:p>
    <w:p w:rsidR="00EF402F" w:rsidRDefault="00EF402F" w:rsidP="00EF402F"/>
    <w:p w:rsidR="00EF402F" w:rsidRDefault="00EF402F" w:rsidP="00EF402F">
      <w:r>
        <w:t>2. Why were in situ breast cancers excluded from the analysis?</w:t>
      </w:r>
    </w:p>
    <w:p w:rsidR="00EF402F" w:rsidRDefault="00EF402F" w:rsidP="00EF402F">
      <w:r>
        <w:t xml:space="preserve">By convention, “in situ” breast cancers are excluded from these types of analyses and from cancer incidence reports because they are not invasive cancers, and there is controversy over their meaning.  Many </w:t>
      </w:r>
      <w:r w:rsidR="00FE10CA">
        <w:t xml:space="preserve">in situ lesions </w:t>
      </w:r>
      <w:r>
        <w:t xml:space="preserve">never progress to breast cancer, but they cause a lot of anxiety and </w:t>
      </w:r>
      <w:r w:rsidR="00FE10CA">
        <w:t>may be</w:t>
      </w:r>
      <w:r>
        <w:t xml:space="preserve"> treated with lumpectomy/radiation.  About 80% of ductal carcinoma in situ (DCIS) cases are diagnosed through mammography because there is </w:t>
      </w:r>
      <w:r w:rsidR="00FE10CA">
        <w:t xml:space="preserve">usually </w:t>
      </w:r>
      <w:r>
        <w:t>no lump or pain that would lead to diagnosis</w:t>
      </w:r>
      <w:r w:rsidR="00FE10CA">
        <w:t xml:space="preserve"> at that stage without a mammogram</w:t>
      </w:r>
      <w:r>
        <w:t xml:space="preserve">.  A corollary of this may be that in a health-conscious community, which values screening mammography, we could expect higher rates of in situ cases.   </w:t>
      </w:r>
    </w:p>
    <w:p w:rsidR="00EF402F" w:rsidRDefault="00EF402F" w:rsidP="00EF402F"/>
    <w:p w:rsidR="00EF402F" w:rsidRDefault="00EF402F" w:rsidP="00EF402F">
      <w:r>
        <w:t>Breast cancer, 2005-2011</w:t>
      </w:r>
    </w:p>
    <w:tbl>
      <w:tblPr>
        <w:tblStyle w:val="TableGrid"/>
        <w:tblW w:w="9180" w:type="dxa"/>
        <w:tblInd w:w="108" w:type="dxa"/>
        <w:tblLayout w:type="fixed"/>
        <w:tblLook w:val="04A0" w:firstRow="1" w:lastRow="0" w:firstColumn="1" w:lastColumn="0" w:noHBand="0" w:noVBand="1"/>
      </w:tblPr>
      <w:tblGrid>
        <w:gridCol w:w="2250"/>
        <w:gridCol w:w="1386"/>
        <w:gridCol w:w="1386"/>
        <w:gridCol w:w="1386"/>
        <w:gridCol w:w="1386"/>
        <w:gridCol w:w="1386"/>
      </w:tblGrid>
      <w:tr w:rsidR="00EF402F" w:rsidTr="00FE10CA">
        <w:tc>
          <w:tcPr>
            <w:tcW w:w="2250" w:type="dxa"/>
          </w:tcPr>
          <w:p w:rsidR="00EF402F" w:rsidRDefault="00EF402F" w:rsidP="00FE10CA"/>
        </w:tc>
        <w:tc>
          <w:tcPr>
            <w:tcW w:w="1386" w:type="dxa"/>
          </w:tcPr>
          <w:p w:rsidR="00EF402F" w:rsidRDefault="00EF402F" w:rsidP="00FE10CA">
            <w:r>
              <w:t>Expected</w:t>
            </w:r>
          </w:p>
        </w:tc>
        <w:tc>
          <w:tcPr>
            <w:tcW w:w="1386" w:type="dxa"/>
          </w:tcPr>
          <w:p w:rsidR="00EF402F" w:rsidRDefault="00EF402F" w:rsidP="00FE10CA">
            <w:r>
              <w:t>Observed</w:t>
            </w:r>
          </w:p>
        </w:tc>
        <w:tc>
          <w:tcPr>
            <w:tcW w:w="1386" w:type="dxa"/>
          </w:tcPr>
          <w:p w:rsidR="00EF402F" w:rsidRDefault="00EF402F" w:rsidP="00FE10CA">
            <w:r>
              <w:t>SIR</w:t>
            </w:r>
          </w:p>
        </w:tc>
        <w:tc>
          <w:tcPr>
            <w:tcW w:w="1386" w:type="dxa"/>
          </w:tcPr>
          <w:p w:rsidR="00EF402F" w:rsidRDefault="00EF402F" w:rsidP="00FE10CA">
            <w:r>
              <w:t>Lower CL</w:t>
            </w:r>
          </w:p>
        </w:tc>
        <w:tc>
          <w:tcPr>
            <w:tcW w:w="1386" w:type="dxa"/>
          </w:tcPr>
          <w:p w:rsidR="00EF402F" w:rsidRDefault="00EF402F" w:rsidP="00FE10CA">
            <w:r>
              <w:t>Upper CL</w:t>
            </w:r>
          </w:p>
        </w:tc>
      </w:tr>
      <w:tr w:rsidR="00EF402F" w:rsidTr="00FE10CA">
        <w:tc>
          <w:tcPr>
            <w:tcW w:w="2250" w:type="dxa"/>
          </w:tcPr>
          <w:p w:rsidR="00EF402F" w:rsidRDefault="00EF402F" w:rsidP="00FE10CA">
            <w:r>
              <w:t>Invasive</w:t>
            </w:r>
          </w:p>
        </w:tc>
        <w:tc>
          <w:tcPr>
            <w:tcW w:w="1386" w:type="dxa"/>
          </w:tcPr>
          <w:p w:rsidR="00EF402F" w:rsidRDefault="00EF402F" w:rsidP="00FE10CA">
            <w:r>
              <w:t>13</w:t>
            </w:r>
          </w:p>
        </w:tc>
        <w:tc>
          <w:tcPr>
            <w:tcW w:w="1386" w:type="dxa"/>
          </w:tcPr>
          <w:p w:rsidR="00EF402F" w:rsidRDefault="00EF402F" w:rsidP="00FE10CA">
            <w:r>
              <w:t>12</w:t>
            </w:r>
          </w:p>
        </w:tc>
        <w:tc>
          <w:tcPr>
            <w:tcW w:w="1386" w:type="dxa"/>
          </w:tcPr>
          <w:p w:rsidR="00EF402F" w:rsidRDefault="00EF402F" w:rsidP="00FE10CA">
            <w:r>
              <w:t>0.91</w:t>
            </w:r>
          </w:p>
        </w:tc>
        <w:tc>
          <w:tcPr>
            <w:tcW w:w="1386" w:type="dxa"/>
          </w:tcPr>
          <w:p w:rsidR="00EF402F" w:rsidRDefault="00EF402F" w:rsidP="00FE10CA">
            <w:r>
              <w:t>0.47</w:t>
            </w:r>
          </w:p>
        </w:tc>
        <w:tc>
          <w:tcPr>
            <w:tcW w:w="1386" w:type="dxa"/>
          </w:tcPr>
          <w:p w:rsidR="00EF402F" w:rsidRDefault="00EF402F" w:rsidP="00FE10CA">
            <w:r>
              <w:t>1.60</w:t>
            </w:r>
          </w:p>
        </w:tc>
      </w:tr>
      <w:tr w:rsidR="00EF402F" w:rsidTr="00FE10CA">
        <w:tc>
          <w:tcPr>
            <w:tcW w:w="2250" w:type="dxa"/>
          </w:tcPr>
          <w:p w:rsidR="00EF402F" w:rsidRDefault="00EF402F" w:rsidP="00FE10CA">
            <w:r>
              <w:t>In situ</w:t>
            </w:r>
          </w:p>
        </w:tc>
        <w:tc>
          <w:tcPr>
            <w:tcW w:w="1386" w:type="dxa"/>
          </w:tcPr>
          <w:p w:rsidR="00EF402F" w:rsidRDefault="00EF402F" w:rsidP="00FE10CA">
            <w:r>
              <w:t>4</w:t>
            </w:r>
          </w:p>
        </w:tc>
        <w:tc>
          <w:tcPr>
            <w:tcW w:w="1386" w:type="dxa"/>
          </w:tcPr>
          <w:p w:rsidR="00EF402F" w:rsidRDefault="00EF402F" w:rsidP="00FE10CA">
            <w:r>
              <w:t>7</w:t>
            </w:r>
          </w:p>
        </w:tc>
        <w:tc>
          <w:tcPr>
            <w:tcW w:w="1386" w:type="dxa"/>
          </w:tcPr>
          <w:p w:rsidR="00EF402F" w:rsidRDefault="00EF402F" w:rsidP="00FE10CA">
            <w:r>
              <w:t>1.88</w:t>
            </w:r>
          </w:p>
        </w:tc>
        <w:tc>
          <w:tcPr>
            <w:tcW w:w="1386" w:type="dxa"/>
          </w:tcPr>
          <w:p w:rsidR="00EF402F" w:rsidRDefault="00EF402F" w:rsidP="00FE10CA">
            <w:r>
              <w:t>0.75</w:t>
            </w:r>
          </w:p>
        </w:tc>
        <w:tc>
          <w:tcPr>
            <w:tcW w:w="1386" w:type="dxa"/>
          </w:tcPr>
          <w:p w:rsidR="00EF402F" w:rsidRDefault="00EF402F" w:rsidP="00FE10CA">
            <w:r>
              <w:t>3.88</w:t>
            </w:r>
          </w:p>
        </w:tc>
      </w:tr>
      <w:tr w:rsidR="00EF402F" w:rsidTr="00FE10CA">
        <w:tc>
          <w:tcPr>
            <w:tcW w:w="2250" w:type="dxa"/>
          </w:tcPr>
          <w:p w:rsidR="00EF402F" w:rsidRDefault="00EF402F" w:rsidP="00FE10CA">
            <w:r>
              <w:t>All breast cancer</w:t>
            </w:r>
          </w:p>
        </w:tc>
        <w:tc>
          <w:tcPr>
            <w:tcW w:w="1386" w:type="dxa"/>
          </w:tcPr>
          <w:p w:rsidR="00EF402F" w:rsidRDefault="00EF402F" w:rsidP="00FE10CA">
            <w:r>
              <w:t>17</w:t>
            </w:r>
          </w:p>
        </w:tc>
        <w:tc>
          <w:tcPr>
            <w:tcW w:w="1386" w:type="dxa"/>
          </w:tcPr>
          <w:p w:rsidR="00EF402F" w:rsidRDefault="00EF402F" w:rsidP="00FE10CA">
            <w:r>
              <w:t>19</w:t>
            </w:r>
          </w:p>
        </w:tc>
        <w:tc>
          <w:tcPr>
            <w:tcW w:w="1386" w:type="dxa"/>
          </w:tcPr>
          <w:p w:rsidR="00EF402F" w:rsidRDefault="00EF402F" w:rsidP="00FE10CA">
            <w:r>
              <w:t>1.13</w:t>
            </w:r>
          </w:p>
        </w:tc>
        <w:tc>
          <w:tcPr>
            <w:tcW w:w="1386" w:type="dxa"/>
          </w:tcPr>
          <w:p w:rsidR="00EF402F" w:rsidRDefault="00EF402F" w:rsidP="00FE10CA">
            <w:r>
              <w:t>0.68</w:t>
            </w:r>
          </w:p>
        </w:tc>
        <w:tc>
          <w:tcPr>
            <w:tcW w:w="1386" w:type="dxa"/>
          </w:tcPr>
          <w:p w:rsidR="00EF402F" w:rsidRDefault="00EF402F" w:rsidP="00FE10CA">
            <w:r>
              <w:t>1.76</w:t>
            </w:r>
          </w:p>
        </w:tc>
      </w:tr>
    </w:tbl>
    <w:p w:rsidR="00EF402F" w:rsidRDefault="00EF402F" w:rsidP="00EF402F"/>
    <w:p w:rsidR="00EF402F" w:rsidRDefault="00EF402F" w:rsidP="00EF402F">
      <w:r>
        <w:t>Interpretation:</w:t>
      </w:r>
    </w:p>
    <w:p w:rsidR="00FE10CA" w:rsidRDefault="00EF402F" w:rsidP="00EF402F">
      <w:pPr>
        <w:pStyle w:val="ListParagraph"/>
        <w:numPr>
          <w:ilvl w:val="0"/>
          <w:numId w:val="3"/>
        </w:numPr>
      </w:pPr>
      <w:r>
        <w:t xml:space="preserve">Andover’s rate of invasive breast cancers was 9% lower than expected (SIR=0.91) but the SIR was not statistically significant.  </w:t>
      </w:r>
    </w:p>
    <w:p w:rsidR="00FE10CA" w:rsidRDefault="00EF402F" w:rsidP="00FE10CA">
      <w:pPr>
        <w:pStyle w:val="ListParagraph"/>
        <w:numPr>
          <w:ilvl w:val="0"/>
          <w:numId w:val="3"/>
        </w:numPr>
      </w:pPr>
      <w:r>
        <w:t>Andover’s rate of in situ breast cancers was 88% higher than expected, but again the SIR was not statistically significant</w:t>
      </w:r>
      <w:r w:rsidR="00FE10CA">
        <w:t xml:space="preserve"> and t</w:t>
      </w:r>
      <w:r>
        <w:t xml:space="preserve">here is a wide confidence interval. </w:t>
      </w:r>
    </w:p>
    <w:p w:rsidR="00FE10CA" w:rsidRDefault="00FE10CA" w:rsidP="00485711"/>
    <w:p w:rsidR="00163EE6" w:rsidRDefault="00EF402F" w:rsidP="00485711">
      <w:pPr>
        <w:rPr>
          <w:rStyle w:val="Hyperlink"/>
          <w:rFonts w:ascii="Helv" w:eastAsiaTheme="minorHAnsi" w:hAnsi="Helv" w:cs="Helv"/>
          <w:sz w:val="20"/>
          <w:szCs w:val="20"/>
        </w:rPr>
      </w:pPr>
      <w:r>
        <w:t>Although it is possible that an environmental exposure could specifically increase only the in situ cancers, it seems more likely that such an exposure would increase all stages of breast cancer</w:t>
      </w:r>
      <w:r w:rsidR="00FE10CA">
        <w:t>, and we do not see such an increase</w:t>
      </w:r>
      <w:r>
        <w:t xml:space="preserve">. </w:t>
      </w:r>
      <w:r w:rsidR="00FE10CA">
        <w:t xml:space="preserve">Our interpretation is that the </w:t>
      </w:r>
      <w:r>
        <w:t xml:space="preserve">most likely explanations </w:t>
      </w:r>
      <w:r w:rsidR="00FE10CA">
        <w:t xml:space="preserve">for these SIR results </w:t>
      </w:r>
      <w:r>
        <w:t xml:space="preserve">are random variation (“chance”), and/or a high use of mammography leading to more “in situ” diagnoses. </w:t>
      </w:r>
    </w:p>
    <w:p w:rsidR="00163EE6" w:rsidRPr="00163EE6" w:rsidRDefault="00163EE6" w:rsidP="00DF690B">
      <w:pPr>
        <w:autoSpaceDE w:val="0"/>
        <w:autoSpaceDN w:val="0"/>
        <w:adjustRightInd w:val="0"/>
        <w:jc w:val="right"/>
        <w:rPr>
          <w:rFonts w:eastAsiaTheme="minorHAnsi"/>
          <w:color w:val="000000"/>
        </w:rPr>
      </w:pPr>
      <w:r w:rsidRPr="00163EE6">
        <w:rPr>
          <w:rFonts w:eastAsiaTheme="minorHAnsi"/>
          <w:color w:val="000000"/>
        </w:rPr>
        <w:t xml:space="preserve">Appendix-1 </w:t>
      </w:r>
    </w:p>
    <w:p w:rsidR="00163EE6" w:rsidRPr="00163EE6" w:rsidRDefault="00163EE6" w:rsidP="00163EE6">
      <w:pPr>
        <w:autoSpaceDE w:val="0"/>
        <w:autoSpaceDN w:val="0"/>
        <w:adjustRightInd w:val="0"/>
        <w:ind w:right="360"/>
        <w:jc w:val="right"/>
        <w:rPr>
          <w:rFonts w:eastAsiaTheme="minorHAnsi"/>
          <w:color w:val="000000"/>
        </w:rPr>
      </w:pPr>
    </w:p>
    <w:p w:rsidR="00163EE6" w:rsidRPr="00163EE6" w:rsidRDefault="00163EE6" w:rsidP="00163EE6">
      <w:pPr>
        <w:spacing w:line="276" w:lineRule="auto"/>
        <w:jc w:val="center"/>
        <w:rPr>
          <w:b/>
          <w:u w:val="single"/>
        </w:rPr>
      </w:pPr>
    </w:p>
    <w:p w:rsidR="00163EE6" w:rsidRPr="006C0EEB" w:rsidRDefault="00163EE6" w:rsidP="006C0EEB">
      <w:pPr>
        <w:spacing w:line="276" w:lineRule="auto"/>
        <w:jc w:val="both"/>
        <w:rPr>
          <w:rFonts w:eastAsiaTheme="minorHAnsi"/>
          <w:b/>
          <w:bCs/>
        </w:rPr>
      </w:pPr>
      <w:r w:rsidRPr="006C0EEB">
        <w:rPr>
          <w:rFonts w:eastAsiaTheme="minorHAnsi"/>
          <w:b/>
          <w:bCs/>
        </w:rPr>
        <w:t>Explanation of a Standardized Incidence Ratio (SIR) And 95% Confidence Interval</w:t>
      </w:r>
    </w:p>
    <w:p w:rsidR="00163EE6" w:rsidRPr="00163EE6" w:rsidRDefault="00163EE6" w:rsidP="00163EE6">
      <w:pPr>
        <w:spacing w:line="276" w:lineRule="auto"/>
        <w:rPr>
          <w:rFonts w:eastAsiaTheme="minorHAnsi"/>
        </w:rPr>
      </w:pPr>
    </w:p>
    <w:p w:rsidR="00163EE6" w:rsidRPr="00163EE6" w:rsidRDefault="00163EE6" w:rsidP="00163EE6">
      <w:pPr>
        <w:spacing w:line="276" w:lineRule="auto"/>
        <w:rPr>
          <w:rFonts w:eastAsiaTheme="minorHAnsi"/>
        </w:rPr>
      </w:pPr>
    </w:p>
    <w:p w:rsidR="00163EE6" w:rsidRPr="00163EE6" w:rsidRDefault="00163EE6" w:rsidP="00163EE6">
      <w:pPr>
        <w:spacing w:line="276" w:lineRule="auto"/>
        <w:rPr>
          <w:rFonts w:eastAsiaTheme="minorHAnsi"/>
        </w:rPr>
      </w:pPr>
      <w:r w:rsidRPr="00163EE6">
        <w:rPr>
          <w:rFonts w:eastAsiaTheme="minorHAnsi"/>
        </w:rPr>
        <w:t>In order to evaluate cancer incidence, a statistic known as a standardized incidence ratio (SIR) is calculated for each cancer type. An SIR is an estimate of the occurrence of cancer in a population relative to what might be expected if the population had the same cancer experience as some larger comparison population designated as “normal” or average. Usually, the state as a whole is selected to be the comparison population. Using the state as a comparison population provides a stable population base for the calculation of incidence rates. As a result of the instability of incidence rates based on small numbers of cases, SIRs were not calculated when fewer than five cases were observed.</w:t>
      </w:r>
    </w:p>
    <w:p w:rsidR="00163EE6" w:rsidRPr="00163EE6" w:rsidRDefault="00163EE6" w:rsidP="00163EE6">
      <w:pPr>
        <w:spacing w:line="276" w:lineRule="auto"/>
        <w:rPr>
          <w:rFonts w:eastAsiaTheme="minorHAnsi"/>
        </w:rPr>
      </w:pPr>
    </w:p>
    <w:p w:rsidR="00163EE6" w:rsidRPr="00163EE6" w:rsidRDefault="00163EE6" w:rsidP="00163EE6">
      <w:pPr>
        <w:spacing w:line="276" w:lineRule="auto"/>
        <w:rPr>
          <w:rFonts w:eastAsiaTheme="minorHAnsi"/>
        </w:rPr>
      </w:pPr>
      <w:r w:rsidRPr="00163EE6">
        <w:rPr>
          <w:rFonts w:eastAsiaTheme="minorHAnsi"/>
        </w:rPr>
        <w:t>Specifically, an SIR is the ratio of the observed number of cancer cases to the expected number of cases. An SIR of 1 indicates that the number of cancer cases observed in the population evaluated is equal to the number of cancer cases expected in the comparison or “normal” population. An SIR greater than 1 indicates that more cancer cases occurred than expected and an SIR less than 1 indicates that fewer cancer cases occurred than expected. Accordingly, an SIR of 1.50 is interpreted as 50% more cases than the expected number; an SIR of 0.90 indicates 10% fewer cases than expected.</w:t>
      </w:r>
    </w:p>
    <w:p w:rsidR="00163EE6" w:rsidRPr="00163EE6" w:rsidRDefault="00163EE6" w:rsidP="00163EE6">
      <w:pPr>
        <w:spacing w:line="276" w:lineRule="auto"/>
        <w:rPr>
          <w:rFonts w:eastAsiaTheme="minorHAnsi"/>
        </w:rPr>
      </w:pPr>
    </w:p>
    <w:p w:rsidR="00163EE6" w:rsidRPr="00163EE6" w:rsidRDefault="00163EE6" w:rsidP="00163EE6">
      <w:pPr>
        <w:spacing w:line="276" w:lineRule="auto"/>
        <w:rPr>
          <w:rFonts w:eastAsiaTheme="minorHAnsi"/>
        </w:rPr>
      </w:pPr>
      <w:r w:rsidRPr="00163EE6">
        <w:rPr>
          <w:rFonts w:eastAsiaTheme="minorHAnsi"/>
        </w:rPr>
        <w:t xml:space="preserve">Caution should be exercised, however, when interpreting an SIR. The interpretation of an SIR depends on both the size and the stability of the SIR. Two SIRs can have the same size but not the same stability. For example, an SIR of 1.5 based on 4 expected cases and 6 observed cases indicates a 50% excess in cancer, but the excess is actually only two cases. Conversely, an SIR of 1.5 based on 400 expected cases and 600 observed cases represents the same 50% excess in cancer, but because the SIR is based upon a greater number of cases, the estimate is more stable. It is very unlikely that 200 excess cases of cancer would occur by chance alone. </w:t>
      </w:r>
    </w:p>
    <w:p w:rsidR="00163EE6" w:rsidRPr="00163EE6" w:rsidRDefault="00163EE6" w:rsidP="00163EE6">
      <w:pPr>
        <w:spacing w:line="276" w:lineRule="auto"/>
        <w:rPr>
          <w:rFonts w:eastAsiaTheme="minorHAnsi"/>
        </w:rPr>
      </w:pPr>
    </w:p>
    <w:p w:rsidR="00163EE6" w:rsidRPr="00163EE6" w:rsidRDefault="00163EE6" w:rsidP="00163EE6">
      <w:pPr>
        <w:spacing w:line="276" w:lineRule="auto"/>
        <w:rPr>
          <w:rFonts w:eastAsiaTheme="minorHAnsi"/>
        </w:rPr>
      </w:pPr>
      <w:r w:rsidRPr="00163EE6">
        <w:rPr>
          <w:rFonts w:eastAsiaTheme="minorHAnsi"/>
        </w:rPr>
        <w:t>To determine if the observed number of cases is significantly different from the expected number or if the difference may be due solely to chance, a 95% confidence interval (CI) was calculated for each SIR. A 95% CI assesses the magnitude and stability of an SIR. Specifically, a 95% CI is the range of estimated SIR values that has a 95% probability of including the true SIR for the population. If the 95% CI range does not include the value 1, then the study population is significantly different from the comparison or “normal” population. “Significantly different” means there is less than 5% percent chance that the observed difference is the result of random fluctuation in the number of observed cancer cases.</w:t>
      </w:r>
    </w:p>
    <w:p w:rsidR="00163EE6" w:rsidRPr="00163EE6" w:rsidRDefault="00163EE6" w:rsidP="00163EE6">
      <w:pPr>
        <w:spacing w:line="276" w:lineRule="auto"/>
        <w:rPr>
          <w:rFonts w:eastAsiaTheme="minorHAnsi"/>
        </w:rPr>
      </w:pPr>
    </w:p>
    <w:p w:rsidR="00163EE6" w:rsidRPr="00163EE6" w:rsidRDefault="00163EE6" w:rsidP="00163EE6">
      <w:pPr>
        <w:spacing w:line="276" w:lineRule="auto"/>
        <w:rPr>
          <w:rFonts w:eastAsiaTheme="minorHAnsi"/>
        </w:rPr>
      </w:pPr>
      <w:r w:rsidRPr="00163EE6">
        <w:rPr>
          <w:rFonts w:eastAsiaTheme="minorHAnsi"/>
        </w:rPr>
        <w:t>For example, if a confidence interval does not include 1 and the interval is above 1 (e.g., 1.05-1.30), then there is statistically significant excess in the number of cancer cases. Similarly, if the confidence interval does not include 1 and the interval is below 1 (e.g., 0.45-0.96), then the number of cancer cases is statistically significantly lower than expected. If the confidence interval range includes 1, then the true SIR may be 1, and it cannot be concluded with sufficient confidence that the observed number of cases is not the result of chance and reflects a real cancer increase or decrease.</w:t>
      </w:r>
    </w:p>
    <w:p w:rsidR="00163EE6" w:rsidRPr="00163EE6" w:rsidRDefault="00163EE6" w:rsidP="00163EE6">
      <w:pPr>
        <w:spacing w:line="276" w:lineRule="auto"/>
        <w:rPr>
          <w:rFonts w:eastAsiaTheme="minorHAnsi"/>
        </w:rPr>
      </w:pPr>
    </w:p>
    <w:p w:rsidR="00163EE6" w:rsidRPr="00163EE6" w:rsidRDefault="00163EE6" w:rsidP="00163EE6">
      <w:pPr>
        <w:spacing w:line="276" w:lineRule="auto"/>
        <w:rPr>
          <w:rFonts w:eastAsiaTheme="minorHAnsi"/>
        </w:rPr>
      </w:pPr>
      <w:r w:rsidRPr="00FC583E">
        <w:rPr>
          <w:rFonts w:eastAsiaTheme="minorHAnsi"/>
          <w:i/>
          <w:u w:val="single"/>
        </w:rPr>
        <w:t>Statistical significance is not assessed when fewer than five cases are observed.</w:t>
      </w:r>
      <w:r w:rsidRPr="00FC583E">
        <w:rPr>
          <w:rFonts w:eastAsiaTheme="minorHAnsi"/>
          <w:b/>
          <w:i/>
        </w:rPr>
        <w:t xml:space="preserve"> </w:t>
      </w:r>
      <w:r w:rsidRPr="00163EE6">
        <w:rPr>
          <w:rFonts w:eastAsiaTheme="minorHAnsi"/>
        </w:rPr>
        <w:t>In addition to the range of the estimates contained in the confidence interval, the width of the confidence interval also reflects the stability of the SIR estimate. For example, a narrow confidence interval (e.g., 1.03-1.15) allows a fair level of certainty that the calculated SIR is close to the true SIR for the population. A wide interval (e.g., 0.</w:t>
      </w:r>
      <w:r w:rsidR="00FC583E">
        <w:rPr>
          <w:rFonts w:eastAsiaTheme="minorHAnsi"/>
        </w:rPr>
        <w:t>5</w:t>
      </w:r>
      <w:r w:rsidRPr="00163EE6">
        <w:rPr>
          <w:rFonts w:eastAsiaTheme="minorHAnsi"/>
        </w:rPr>
        <w:t xml:space="preserve">5-4.50) leaves considerable doubt about the true SIR, which could be much lower than or much higher than the calculated SIR. This would indicate an unstable statistic. </w:t>
      </w:r>
    </w:p>
    <w:p w:rsidR="00163EE6" w:rsidRPr="00163EE6" w:rsidRDefault="00163EE6" w:rsidP="00163EE6">
      <w:pPr>
        <w:spacing w:line="276" w:lineRule="auto"/>
      </w:pPr>
    </w:p>
    <w:p w:rsidR="00163EE6" w:rsidRPr="00163EE6" w:rsidRDefault="00163EE6" w:rsidP="00163EE6">
      <w:pPr>
        <w:spacing w:line="276" w:lineRule="auto"/>
      </w:pPr>
    </w:p>
    <w:p w:rsidR="00163EE6" w:rsidRDefault="00163EE6" w:rsidP="00163EE6">
      <w:pPr>
        <w:spacing w:line="276" w:lineRule="auto"/>
        <w:rPr>
          <w:rFonts w:eastAsiaTheme="minorHAnsi"/>
        </w:rPr>
      </w:pPr>
    </w:p>
    <w:p w:rsidR="00163EE6" w:rsidRDefault="00163EE6" w:rsidP="00163EE6">
      <w:pPr>
        <w:spacing w:line="276" w:lineRule="auto"/>
        <w:rPr>
          <w:rFonts w:eastAsiaTheme="minorHAnsi"/>
        </w:rPr>
      </w:pPr>
    </w:p>
    <w:p w:rsidR="00163EE6" w:rsidRDefault="00163EE6" w:rsidP="00163EE6">
      <w:pPr>
        <w:spacing w:line="276" w:lineRule="auto"/>
        <w:rPr>
          <w:rFonts w:eastAsiaTheme="minorHAnsi"/>
        </w:rPr>
      </w:pPr>
    </w:p>
    <w:p w:rsidR="00163EE6" w:rsidRDefault="00163EE6" w:rsidP="00163EE6">
      <w:pPr>
        <w:spacing w:line="276" w:lineRule="auto"/>
        <w:rPr>
          <w:rFonts w:eastAsiaTheme="minorHAnsi"/>
        </w:rPr>
      </w:pPr>
    </w:p>
    <w:p w:rsidR="00163EE6" w:rsidRDefault="00163EE6" w:rsidP="00163EE6">
      <w:pPr>
        <w:spacing w:line="276" w:lineRule="auto"/>
        <w:rPr>
          <w:rFonts w:eastAsiaTheme="minorHAnsi"/>
        </w:rPr>
      </w:pPr>
    </w:p>
    <w:p w:rsidR="00163EE6" w:rsidRDefault="00163EE6" w:rsidP="00163EE6">
      <w:pPr>
        <w:spacing w:line="276" w:lineRule="auto"/>
        <w:rPr>
          <w:rFonts w:eastAsiaTheme="minorHAnsi"/>
        </w:rPr>
      </w:pPr>
    </w:p>
    <w:p w:rsidR="00163EE6" w:rsidRDefault="00163EE6" w:rsidP="00163EE6">
      <w:pPr>
        <w:spacing w:line="276" w:lineRule="auto"/>
        <w:rPr>
          <w:rFonts w:eastAsiaTheme="minorHAnsi"/>
        </w:rPr>
      </w:pPr>
    </w:p>
    <w:p w:rsidR="00163EE6" w:rsidRDefault="00163EE6" w:rsidP="00163EE6">
      <w:pPr>
        <w:spacing w:line="276" w:lineRule="auto"/>
        <w:rPr>
          <w:rFonts w:eastAsiaTheme="minorHAnsi"/>
        </w:rPr>
      </w:pPr>
    </w:p>
    <w:p w:rsidR="00163EE6" w:rsidRDefault="00163EE6" w:rsidP="00163EE6">
      <w:pPr>
        <w:spacing w:line="276" w:lineRule="auto"/>
        <w:rPr>
          <w:rFonts w:eastAsiaTheme="minorHAnsi"/>
        </w:rPr>
      </w:pPr>
    </w:p>
    <w:p w:rsidR="00163EE6" w:rsidRDefault="00163EE6" w:rsidP="00163EE6">
      <w:pPr>
        <w:spacing w:line="276" w:lineRule="auto"/>
        <w:rPr>
          <w:rFonts w:eastAsiaTheme="minorHAnsi"/>
        </w:rPr>
      </w:pPr>
    </w:p>
    <w:p w:rsidR="00163EE6" w:rsidRDefault="00163EE6" w:rsidP="00163EE6">
      <w:pPr>
        <w:spacing w:line="276" w:lineRule="auto"/>
        <w:rPr>
          <w:rFonts w:eastAsiaTheme="minorHAnsi"/>
        </w:rPr>
      </w:pPr>
    </w:p>
    <w:p w:rsidR="00163EE6" w:rsidRDefault="00163EE6" w:rsidP="00163EE6">
      <w:pPr>
        <w:spacing w:line="276" w:lineRule="auto"/>
        <w:rPr>
          <w:rFonts w:eastAsiaTheme="minorHAnsi"/>
        </w:rPr>
      </w:pPr>
    </w:p>
    <w:p w:rsidR="00163EE6" w:rsidRDefault="00163EE6" w:rsidP="00163EE6">
      <w:pPr>
        <w:spacing w:line="276" w:lineRule="auto"/>
        <w:rPr>
          <w:rFonts w:eastAsiaTheme="minorHAnsi"/>
        </w:rPr>
      </w:pPr>
    </w:p>
    <w:p w:rsidR="00163EE6" w:rsidRDefault="00163EE6" w:rsidP="00163EE6">
      <w:pPr>
        <w:spacing w:line="276" w:lineRule="auto"/>
        <w:rPr>
          <w:rFonts w:eastAsiaTheme="minorHAnsi"/>
        </w:rPr>
      </w:pPr>
    </w:p>
    <w:p w:rsidR="00163EE6" w:rsidRDefault="00163EE6" w:rsidP="00163EE6">
      <w:pPr>
        <w:spacing w:line="276" w:lineRule="auto"/>
        <w:rPr>
          <w:rFonts w:eastAsiaTheme="minorHAnsi"/>
        </w:rPr>
      </w:pPr>
    </w:p>
    <w:p w:rsidR="00163EE6" w:rsidRDefault="00163EE6" w:rsidP="00163EE6">
      <w:pPr>
        <w:spacing w:line="276" w:lineRule="auto"/>
        <w:rPr>
          <w:rFonts w:eastAsiaTheme="minorHAnsi"/>
        </w:rPr>
      </w:pPr>
    </w:p>
    <w:p w:rsidR="00163EE6" w:rsidRDefault="00163EE6" w:rsidP="00163EE6">
      <w:pPr>
        <w:spacing w:line="276" w:lineRule="auto"/>
        <w:rPr>
          <w:rFonts w:eastAsiaTheme="minorHAnsi"/>
        </w:rPr>
      </w:pPr>
    </w:p>
    <w:p w:rsidR="00163EE6" w:rsidRDefault="00163EE6" w:rsidP="00163EE6">
      <w:pPr>
        <w:spacing w:line="276" w:lineRule="auto"/>
        <w:rPr>
          <w:rFonts w:eastAsiaTheme="minorHAnsi"/>
        </w:rPr>
      </w:pPr>
    </w:p>
    <w:p w:rsidR="00163EE6" w:rsidRDefault="00163EE6" w:rsidP="00163EE6">
      <w:pPr>
        <w:spacing w:line="276" w:lineRule="auto"/>
        <w:rPr>
          <w:rFonts w:eastAsiaTheme="minorHAnsi"/>
        </w:rPr>
      </w:pPr>
    </w:p>
    <w:p w:rsidR="00163EE6" w:rsidRDefault="00163EE6" w:rsidP="00163EE6">
      <w:pPr>
        <w:spacing w:line="276" w:lineRule="auto"/>
        <w:rPr>
          <w:rFonts w:eastAsiaTheme="minorHAnsi"/>
        </w:rPr>
      </w:pPr>
    </w:p>
    <w:p w:rsidR="00163EE6" w:rsidRDefault="00163EE6" w:rsidP="00163EE6">
      <w:pPr>
        <w:spacing w:line="276" w:lineRule="auto"/>
        <w:rPr>
          <w:rFonts w:eastAsiaTheme="minorHAnsi"/>
        </w:rPr>
      </w:pPr>
      <w:r>
        <w:rPr>
          <w:rFonts w:eastAsiaTheme="minorHAnsi"/>
        </w:rPr>
        <w:t>---------------------------------------------------------------------------------------------------------------------</w:t>
      </w:r>
    </w:p>
    <w:p w:rsidR="008F5C37" w:rsidRDefault="00163EE6" w:rsidP="008F5C37">
      <w:pPr>
        <w:autoSpaceDE w:val="0"/>
        <w:autoSpaceDN w:val="0"/>
        <w:adjustRightInd w:val="0"/>
        <w:rPr>
          <w:rFonts w:ascii="Helv" w:eastAsiaTheme="minorHAnsi" w:hAnsi="Helv" w:cs="Helv"/>
          <w:color w:val="000000"/>
          <w:sz w:val="20"/>
          <w:szCs w:val="20"/>
        </w:rPr>
      </w:pPr>
      <w:r w:rsidRPr="00163EE6">
        <w:rPr>
          <w:rFonts w:eastAsiaTheme="minorHAnsi"/>
        </w:rPr>
        <w:t>Source: Massachusetts Department of Public Health, Bureau of Environmental Health Assessment</w:t>
      </w:r>
      <w:r>
        <w:rPr>
          <w:rFonts w:eastAsiaTheme="minorHAnsi"/>
        </w:rPr>
        <w:t xml:space="preserve"> </w:t>
      </w:r>
      <w:r w:rsidR="00AD5CCB">
        <w:rPr>
          <w:rFonts w:eastAsiaTheme="minorHAnsi"/>
        </w:rPr>
        <w:t>(2008)</w:t>
      </w:r>
    </w:p>
    <w:sectPr w:rsidR="008F5C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883" w:rsidRDefault="00F36883" w:rsidP="00B678FF">
      <w:r>
        <w:separator/>
      </w:r>
    </w:p>
  </w:endnote>
  <w:endnote w:type="continuationSeparator" w:id="0">
    <w:p w:rsidR="00F36883" w:rsidRDefault="00F36883" w:rsidP="00B67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883" w:rsidRDefault="00F36883" w:rsidP="00B678FF">
      <w:r>
        <w:separator/>
      </w:r>
    </w:p>
  </w:footnote>
  <w:footnote w:type="continuationSeparator" w:id="0">
    <w:p w:rsidR="00F36883" w:rsidRDefault="00F36883" w:rsidP="00B678FF">
      <w:r>
        <w:continuationSeparator/>
      </w:r>
    </w:p>
  </w:footnote>
  <w:footnote w:id="1">
    <w:p w:rsidR="00F87FD5" w:rsidRPr="0017217C" w:rsidRDefault="00F87FD5" w:rsidP="00F87FD5">
      <w:pPr>
        <w:pStyle w:val="xl25"/>
        <w:spacing w:before="0" w:beforeAutospacing="0" w:after="0" w:afterAutospacing="0" w:line="276" w:lineRule="auto"/>
        <w:rPr>
          <w:bCs/>
          <w:sz w:val="20"/>
          <w:szCs w:val="20"/>
        </w:rPr>
      </w:pPr>
      <w:r w:rsidRPr="00FD1F5D">
        <w:rPr>
          <w:rStyle w:val="FootnoteReference"/>
          <w:sz w:val="20"/>
          <w:szCs w:val="20"/>
        </w:rPr>
        <w:footnoteRef/>
      </w:r>
      <w:r w:rsidRPr="00FD1F5D">
        <w:rPr>
          <w:sz w:val="20"/>
          <w:szCs w:val="20"/>
        </w:rPr>
        <w:t xml:space="preserve"> </w:t>
      </w:r>
      <w:proofErr w:type="gramStart"/>
      <w:r w:rsidRPr="00FD1F5D">
        <w:rPr>
          <w:sz w:val="20"/>
          <w:szCs w:val="20"/>
        </w:rPr>
        <w:t xml:space="preserve">American Cancer </w:t>
      </w:r>
      <w:r w:rsidRPr="0017217C">
        <w:rPr>
          <w:sz w:val="20"/>
          <w:szCs w:val="20"/>
        </w:rPr>
        <w:t>Society (2014).</w:t>
      </w:r>
      <w:proofErr w:type="gramEnd"/>
      <w:r w:rsidRPr="0017217C">
        <w:rPr>
          <w:sz w:val="20"/>
          <w:szCs w:val="20"/>
        </w:rPr>
        <w:t xml:space="preserve"> </w:t>
      </w:r>
      <w:proofErr w:type="gramStart"/>
      <w:r w:rsidRPr="0017217C">
        <w:rPr>
          <w:sz w:val="20"/>
          <w:szCs w:val="20"/>
        </w:rPr>
        <w:t>Cancer Facts &amp; Figures - 2000.</w:t>
      </w:r>
      <w:proofErr w:type="gramEnd"/>
      <w:r w:rsidRPr="0017217C">
        <w:rPr>
          <w:sz w:val="20"/>
          <w:szCs w:val="20"/>
        </w:rPr>
        <w:t xml:space="preserve">  </w:t>
      </w:r>
      <w:proofErr w:type="gramStart"/>
      <w:r w:rsidRPr="0017217C">
        <w:rPr>
          <w:sz w:val="20"/>
          <w:szCs w:val="20"/>
        </w:rPr>
        <w:t>U.S. Department of Health and Human Services.</w:t>
      </w:r>
      <w:proofErr w:type="gramEnd"/>
      <w:r w:rsidRPr="0017217C">
        <w:rPr>
          <w:sz w:val="20"/>
          <w:szCs w:val="20"/>
        </w:rPr>
        <w:t xml:space="preserve"> Atlanta, GA. 2014</w:t>
      </w:r>
    </w:p>
    <w:p w:rsidR="00F87FD5" w:rsidRPr="0017217C" w:rsidRDefault="00F87FD5" w:rsidP="00F87FD5">
      <w:pPr>
        <w:pStyle w:val="FootnoteText"/>
      </w:pPr>
    </w:p>
  </w:footnote>
  <w:footnote w:id="2">
    <w:p w:rsidR="00F87FD5" w:rsidRDefault="00F87FD5" w:rsidP="00F87FD5">
      <w:pPr>
        <w:pStyle w:val="FootnoteText"/>
      </w:pPr>
      <w:r w:rsidRPr="0017217C">
        <w:rPr>
          <w:rStyle w:val="FootnoteReference"/>
        </w:rPr>
        <w:footnoteRef/>
      </w:r>
      <w:r w:rsidRPr="0017217C">
        <w:t xml:space="preserve"> </w:t>
      </w:r>
      <w:proofErr w:type="gramStart"/>
      <w:r w:rsidRPr="0017217C">
        <w:t>National Cancer Institute and CDC.</w:t>
      </w:r>
      <w:proofErr w:type="gramEnd"/>
      <w:r w:rsidRPr="0017217C">
        <w:t xml:space="preserve"> </w:t>
      </w:r>
      <w:proofErr w:type="gramStart"/>
      <w:r w:rsidRPr="0017217C">
        <w:t>State Cancer Profiles.</w:t>
      </w:r>
      <w:proofErr w:type="gramEnd"/>
      <w:r w:rsidRPr="0017217C">
        <w:t xml:space="preserve"> </w:t>
      </w:r>
      <w:proofErr w:type="gramStart"/>
      <w:r w:rsidRPr="0017217C">
        <w:t>Quick profiles for states.</w:t>
      </w:r>
      <w:proofErr w:type="gramEnd"/>
      <w:r w:rsidRPr="0017217C">
        <w:t xml:space="preserve"> http://statecancerprofiles.cancer.gov/</w:t>
      </w:r>
    </w:p>
  </w:footnote>
  <w:footnote w:id="3">
    <w:p w:rsidR="00FE10CA" w:rsidRPr="0015372A" w:rsidRDefault="00FE10CA" w:rsidP="00957C31">
      <w:pPr>
        <w:pStyle w:val="EndnoteText"/>
        <w:ind w:left="360" w:hanging="360"/>
      </w:pPr>
      <w:r>
        <w:rPr>
          <w:rStyle w:val="FootnoteReference"/>
        </w:rPr>
        <w:footnoteRef/>
      </w:r>
      <w:r>
        <w:t xml:space="preserve"> </w:t>
      </w:r>
      <w:proofErr w:type="gramStart"/>
      <w:r>
        <w:t>US</w:t>
      </w:r>
      <w:r w:rsidRPr="0015372A">
        <w:t xml:space="preserve"> Department of Commerce.</w:t>
      </w:r>
      <w:proofErr w:type="gramEnd"/>
      <w:r w:rsidRPr="0015372A">
        <w:t xml:space="preserve"> US Census 2010, American Fact Finders</w:t>
      </w:r>
    </w:p>
    <w:p w:rsidR="00FE10CA" w:rsidRDefault="00FE10CA">
      <w:pPr>
        <w:pStyle w:val="FootnoteText"/>
      </w:pPr>
    </w:p>
  </w:footnote>
  <w:footnote w:id="4">
    <w:p w:rsidR="00FE10CA" w:rsidRPr="00FD1F5D" w:rsidRDefault="00FE10CA" w:rsidP="00957C31">
      <w:pPr>
        <w:rPr>
          <w:sz w:val="20"/>
          <w:szCs w:val="20"/>
        </w:rPr>
      </w:pPr>
      <w:r w:rsidRPr="00FD1F5D">
        <w:rPr>
          <w:rStyle w:val="FootnoteReference"/>
          <w:sz w:val="20"/>
          <w:szCs w:val="20"/>
        </w:rPr>
        <w:footnoteRef/>
      </w:r>
      <w:r w:rsidRPr="00FD1F5D">
        <w:rPr>
          <w:sz w:val="20"/>
          <w:szCs w:val="20"/>
        </w:rPr>
        <w:t xml:space="preserve"> </w:t>
      </w:r>
      <w:r w:rsidRPr="00FD1F5D">
        <w:rPr>
          <w:bCs/>
          <w:sz w:val="20"/>
          <w:szCs w:val="20"/>
        </w:rPr>
        <w:t xml:space="preserve">McKinnell Robert et al. </w:t>
      </w:r>
      <w:proofErr w:type="gramStart"/>
      <w:r w:rsidRPr="00FD1F5D">
        <w:rPr>
          <w:bCs/>
          <w:sz w:val="20"/>
          <w:szCs w:val="20"/>
          <w:u w:val="single"/>
        </w:rPr>
        <w:t>The Biological Basis of Cancer</w:t>
      </w:r>
      <w:r w:rsidRPr="00FD1F5D">
        <w:rPr>
          <w:bCs/>
          <w:sz w:val="20"/>
          <w:szCs w:val="20"/>
        </w:rPr>
        <w:t>.</w:t>
      </w:r>
      <w:proofErr w:type="gramEnd"/>
      <w:r w:rsidRPr="00FD1F5D">
        <w:rPr>
          <w:bCs/>
          <w:sz w:val="20"/>
          <w:szCs w:val="20"/>
        </w:rPr>
        <w:t xml:space="preserve"> </w:t>
      </w:r>
      <w:proofErr w:type="gramStart"/>
      <w:r w:rsidRPr="00FD1F5D">
        <w:rPr>
          <w:bCs/>
          <w:sz w:val="20"/>
          <w:szCs w:val="20"/>
        </w:rPr>
        <w:t>Cambridge University Press 1998.</w:t>
      </w:r>
      <w:proofErr w:type="gramEnd"/>
      <w:r w:rsidRPr="00FD1F5D">
        <w:rPr>
          <w:bCs/>
          <w:sz w:val="20"/>
          <w:szCs w:val="20"/>
        </w:rPr>
        <w:t xml:space="preserve"> </w:t>
      </w:r>
      <w:proofErr w:type="gramStart"/>
      <w:r w:rsidRPr="00FD1F5D">
        <w:rPr>
          <w:bCs/>
          <w:sz w:val="20"/>
          <w:szCs w:val="20"/>
        </w:rPr>
        <w:t>pgs.</w:t>
      </w:r>
      <w:proofErr w:type="gramEnd"/>
      <w:r w:rsidRPr="00FD1F5D">
        <w:rPr>
          <w:bCs/>
          <w:sz w:val="20"/>
          <w:szCs w:val="20"/>
        </w:rPr>
        <w:t xml:space="preserve"> 79-114.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C1997"/>
    <w:multiLevelType w:val="hybridMultilevel"/>
    <w:tmpl w:val="33F224E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D95070E"/>
    <w:multiLevelType w:val="hybridMultilevel"/>
    <w:tmpl w:val="9C3C2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927160"/>
    <w:multiLevelType w:val="hybridMultilevel"/>
    <w:tmpl w:val="600E884E"/>
    <w:lvl w:ilvl="0" w:tplc="DCB839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5FB"/>
    <w:rsid w:val="000104B0"/>
    <w:rsid w:val="0002074F"/>
    <w:rsid w:val="000244FA"/>
    <w:rsid w:val="000355D5"/>
    <w:rsid w:val="000421C5"/>
    <w:rsid w:val="00046F79"/>
    <w:rsid w:val="00073AD7"/>
    <w:rsid w:val="00080109"/>
    <w:rsid w:val="00080812"/>
    <w:rsid w:val="00092B88"/>
    <w:rsid w:val="000D3E02"/>
    <w:rsid w:val="000E1D1D"/>
    <w:rsid w:val="00122827"/>
    <w:rsid w:val="001233B0"/>
    <w:rsid w:val="0015372A"/>
    <w:rsid w:val="00161D0D"/>
    <w:rsid w:val="00163EE6"/>
    <w:rsid w:val="0017217C"/>
    <w:rsid w:val="0018006F"/>
    <w:rsid w:val="001B2711"/>
    <w:rsid w:val="001C5674"/>
    <w:rsid w:val="001D2C79"/>
    <w:rsid w:val="001F41CF"/>
    <w:rsid w:val="00233790"/>
    <w:rsid w:val="00242E3A"/>
    <w:rsid w:val="00285EEF"/>
    <w:rsid w:val="002D0ED3"/>
    <w:rsid w:val="002D6265"/>
    <w:rsid w:val="00321CE7"/>
    <w:rsid w:val="003322D6"/>
    <w:rsid w:val="003365E7"/>
    <w:rsid w:val="0034002E"/>
    <w:rsid w:val="0036249F"/>
    <w:rsid w:val="003C08D9"/>
    <w:rsid w:val="003C41E5"/>
    <w:rsid w:val="003D71A6"/>
    <w:rsid w:val="003E55FB"/>
    <w:rsid w:val="003F3862"/>
    <w:rsid w:val="003F5969"/>
    <w:rsid w:val="003F780D"/>
    <w:rsid w:val="0041235C"/>
    <w:rsid w:val="004153F2"/>
    <w:rsid w:val="004279EB"/>
    <w:rsid w:val="0045059D"/>
    <w:rsid w:val="004763B8"/>
    <w:rsid w:val="00483F5C"/>
    <w:rsid w:val="00485711"/>
    <w:rsid w:val="00504AC1"/>
    <w:rsid w:val="00520814"/>
    <w:rsid w:val="005214A8"/>
    <w:rsid w:val="005549A3"/>
    <w:rsid w:val="0056561D"/>
    <w:rsid w:val="005B0CC8"/>
    <w:rsid w:val="00616D9D"/>
    <w:rsid w:val="00621628"/>
    <w:rsid w:val="00635ABB"/>
    <w:rsid w:val="0064545E"/>
    <w:rsid w:val="00667897"/>
    <w:rsid w:val="006B507E"/>
    <w:rsid w:val="006C0EEB"/>
    <w:rsid w:val="006D42CC"/>
    <w:rsid w:val="006E2C7C"/>
    <w:rsid w:val="00712AA7"/>
    <w:rsid w:val="0077414C"/>
    <w:rsid w:val="00785CA3"/>
    <w:rsid w:val="007A3854"/>
    <w:rsid w:val="007A6035"/>
    <w:rsid w:val="007D2C89"/>
    <w:rsid w:val="007D72E6"/>
    <w:rsid w:val="007E25DF"/>
    <w:rsid w:val="00843561"/>
    <w:rsid w:val="00852EB9"/>
    <w:rsid w:val="008617DD"/>
    <w:rsid w:val="0088063E"/>
    <w:rsid w:val="008824F8"/>
    <w:rsid w:val="00896AA4"/>
    <w:rsid w:val="008A526C"/>
    <w:rsid w:val="008E61DE"/>
    <w:rsid w:val="008F5C37"/>
    <w:rsid w:val="009165B3"/>
    <w:rsid w:val="00931FC0"/>
    <w:rsid w:val="00937A1D"/>
    <w:rsid w:val="00957C31"/>
    <w:rsid w:val="009679CA"/>
    <w:rsid w:val="009F2F31"/>
    <w:rsid w:val="00A37DA6"/>
    <w:rsid w:val="00A6546B"/>
    <w:rsid w:val="00A84EC8"/>
    <w:rsid w:val="00A92060"/>
    <w:rsid w:val="00AC1779"/>
    <w:rsid w:val="00AD5CCB"/>
    <w:rsid w:val="00B03F86"/>
    <w:rsid w:val="00B04AA3"/>
    <w:rsid w:val="00B1164A"/>
    <w:rsid w:val="00B218EF"/>
    <w:rsid w:val="00B223DB"/>
    <w:rsid w:val="00B230DB"/>
    <w:rsid w:val="00B622C3"/>
    <w:rsid w:val="00B678FF"/>
    <w:rsid w:val="00B9540C"/>
    <w:rsid w:val="00B97876"/>
    <w:rsid w:val="00BB4565"/>
    <w:rsid w:val="00BC3D65"/>
    <w:rsid w:val="00BD6898"/>
    <w:rsid w:val="00C16903"/>
    <w:rsid w:val="00C23E3C"/>
    <w:rsid w:val="00C32DF4"/>
    <w:rsid w:val="00C4633C"/>
    <w:rsid w:val="00C465EA"/>
    <w:rsid w:val="00C76002"/>
    <w:rsid w:val="00C95EFB"/>
    <w:rsid w:val="00CC231F"/>
    <w:rsid w:val="00CC7F15"/>
    <w:rsid w:val="00CD1CF8"/>
    <w:rsid w:val="00D35B42"/>
    <w:rsid w:val="00D61358"/>
    <w:rsid w:val="00D75349"/>
    <w:rsid w:val="00D821F3"/>
    <w:rsid w:val="00D82A65"/>
    <w:rsid w:val="00DA0638"/>
    <w:rsid w:val="00DA3A61"/>
    <w:rsid w:val="00DF289B"/>
    <w:rsid w:val="00DF690B"/>
    <w:rsid w:val="00E64B7D"/>
    <w:rsid w:val="00EC56E0"/>
    <w:rsid w:val="00EF2F70"/>
    <w:rsid w:val="00EF402F"/>
    <w:rsid w:val="00F00D63"/>
    <w:rsid w:val="00F35AC1"/>
    <w:rsid w:val="00F36883"/>
    <w:rsid w:val="00F5014D"/>
    <w:rsid w:val="00F61D73"/>
    <w:rsid w:val="00F7695B"/>
    <w:rsid w:val="00F76A5B"/>
    <w:rsid w:val="00F87FD5"/>
    <w:rsid w:val="00FB2D0B"/>
    <w:rsid w:val="00FC583E"/>
    <w:rsid w:val="00FD1F5D"/>
    <w:rsid w:val="00FE10CA"/>
    <w:rsid w:val="00FE1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5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5FB"/>
    <w:pPr>
      <w:ind w:left="720"/>
      <w:contextualSpacing/>
    </w:pPr>
  </w:style>
  <w:style w:type="paragraph" w:styleId="NormalWeb">
    <w:name w:val="Normal (Web)"/>
    <w:basedOn w:val="Normal"/>
    <w:uiPriority w:val="99"/>
    <w:semiHidden/>
    <w:unhideWhenUsed/>
    <w:rsid w:val="00CC231F"/>
    <w:pPr>
      <w:spacing w:before="100" w:beforeAutospacing="1" w:after="100" w:afterAutospacing="1"/>
    </w:pPr>
  </w:style>
  <w:style w:type="paragraph" w:styleId="EndnoteText">
    <w:name w:val="endnote text"/>
    <w:basedOn w:val="Normal"/>
    <w:link w:val="EndnoteTextChar"/>
    <w:uiPriority w:val="99"/>
    <w:semiHidden/>
    <w:unhideWhenUsed/>
    <w:rsid w:val="00B678FF"/>
    <w:rPr>
      <w:sz w:val="20"/>
      <w:szCs w:val="20"/>
    </w:rPr>
  </w:style>
  <w:style w:type="character" w:customStyle="1" w:styleId="EndnoteTextChar">
    <w:name w:val="Endnote Text Char"/>
    <w:basedOn w:val="DefaultParagraphFont"/>
    <w:link w:val="EndnoteText"/>
    <w:uiPriority w:val="99"/>
    <w:semiHidden/>
    <w:rsid w:val="00B678F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B678FF"/>
    <w:rPr>
      <w:vertAlign w:val="superscript"/>
    </w:rPr>
  </w:style>
  <w:style w:type="paragraph" w:styleId="BalloonText">
    <w:name w:val="Balloon Text"/>
    <w:basedOn w:val="Normal"/>
    <w:link w:val="BalloonTextChar"/>
    <w:uiPriority w:val="99"/>
    <w:semiHidden/>
    <w:unhideWhenUsed/>
    <w:rsid w:val="009F2F31"/>
    <w:rPr>
      <w:rFonts w:ascii="Tahoma" w:hAnsi="Tahoma" w:cs="Tahoma"/>
      <w:sz w:val="16"/>
      <w:szCs w:val="16"/>
    </w:rPr>
  </w:style>
  <w:style w:type="character" w:customStyle="1" w:styleId="BalloonTextChar">
    <w:name w:val="Balloon Text Char"/>
    <w:basedOn w:val="DefaultParagraphFont"/>
    <w:link w:val="BalloonText"/>
    <w:uiPriority w:val="99"/>
    <w:semiHidden/>
    <w:rsid w:val="009F2F31"/>
    <w:rPr>
      <w:rFonts w:ascii="Tahoma" w:eastAsia="Times New Roman" w:hAnsi="Tahoma" w:cs="Tahoma"/>
      <w:sz w:val="16"/>
      <w:szCs w:val="16"/>
    </w:rPr>
  </w:style>
  <w:style w:type="character" w:styleId="Hyperlink">
    <w:name w:val="Hyperlink"/>
    <w:semiHidden/>
    <w:rsid w:val="006E2C7C"/>
    <w:rPr>
      <w:color w:val="0000FF"/>
      <w:u w:val="single"/>
    </w:rPr>
  </w:style>
  <w:style w:type="paragraph" w:customStyle="1" w:styleId="xl25">
    <w:name w:val="xl25"/>
    <w:basedOn w:val="Normal"/>
    <w:rsid w:val="006E2C7C"/>
    <w:pPr>
      <w:spacing w:before="100" w:beforeAutospacing="1" w:after="100" w:afterAutospacing="1"/>
    </w:pPr>
  </w:style>
  <w:style w:type="character" w:styleId="FollowedHyperlink">
    <w:name w:val="FollowedHyperlink"/>
    <w:basedOn w:val="DefaultParagraphFont"/>
    <w:uiPriority w:val="99"/>
    <w:semiHidden/>
    <w:unhideWhenUsed/>
    <w:rsid w:val="006E2C7C"/>
    <w:rPr>
      <w:color w:val="800080" w:themeColor="followedHyperlink"/>
      <w:u w:val="single"/>
    </w:rPr>
  </w:style>
  <w:style w:type="paragraph" w:styleId="BodyText">
    <w:name w:val="Body Text"/>
    <w:basedOn w:val="Normal"/>
    <w:link w:val="BodyTextChar"/>
    <w:semiHidden/>
    <w:rsid w:val="002D62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color w:val="FFCC99"/>
    </w:rPr>
  </w:style>
  <w:style w:type="character" w:customStyle="1" w:styleId="BodyTextChar">
    <w:name w:val="Body Text Char"/>
    <w:basedOn w:val="DefaultParagraphFont"/>
    <w:link w:val="BodyText"/>
    <w:semiHidden/>
    <w:rsid w:val="002D6265"/>
    <w:rPr>
      <w:rFonts w:ascii="Times New Roman" w:eastAsia="Times New Roman" w:hAnsi="Times New Roman" w:cs="Times New Roman"/>
      <w:color w:val="FFCC99"/>
      <w:sz w:val="24"/>
      <w:szCs w:val="24"/>
    </w:rPr>
  </w:style>
  <w:style w:type="paragraph" w:styleId="FootnoteText">
    <w:name w:val="footnote text"/>
    <w:basedOn w:val="Normal"/>
    <w:link w:val="FootnoteTextChar"/>
    <w:uiPriority w:val="99"/>
    <w:semiHidden/>
    <w:unhideWhenUsed/>
    <w:rsid w:val="00957C31"/>
    <w:rPr>
      <w:sz w:val="20"/>
      <w:szCs w:val="20"/>
    </w:rPr>
  </w:style>
  <w:style w:type="character" w:customStyle="1" w:styleId="FootnoteTextChar">
    <w:name w:val="Footnote Text Char"/>
    <w:basedOn w:val="DefaultParagraphFont"/>
    <w:link w:val="FootnoteText"/>
    <w:uiPriority w:val="99"/>
    <w:semiHidden/>
    <w:rsid w:val="00957C3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57C31"/>
    <w:rPr>
      <w:vertAlign w:val="superscript"/>
    </w:rPr>
  </w:style>
  <w:style w:type="character" w:styleId="CommentReference">
    <w:name w:val="annotation reference"/>
    <w:basedOn w:val="DefaultParagraphFont"/>
    <w:uiPriority w:val="99"/>
    <w:semiHidden/>
    <w:unhideWhenUsed/>
    <w:rsid w:val="00242E3A"/>
    <w:rPr>
      <w:sz w:val="16"/>
      <w:szCs w:val="16"/>
    </w:rPr>
  </w:style>
  <w:style w:type="paragraph" w:styleId="CommentText">
    <w:name w:val="annotation text"/>
    <w:basedOn w:val="Normal"/>
    <w:link w:val="CommentTextChar"/>
    <w:uiPriority w:val="99"/>
    <w:semiHidden/>
    <w:unhideWhenUsed/>
    <w:rsid w:val="00242E3A"/>
    <w:rPr>
      <w:sz w:val="20"/>
      <w:szCs w:val="20"/>
    </w:rPr>
  </w:style>
  <w:style w:type="character" w:customStyle="1" w:styleId="CommentTextChar">
    <w:name w:val="Comment Text Char"/>
    <w:basedOn w:val="DefaultParagraphFont"/>
    <w:link w:val="CommentText"/>
    <w:uiPriority w:val="99"/>
    <w:semiHidden/>
    <w:rsid w:val="00242E3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42E3A"/>
    <w:rPr>
      <w:b/>
      <w:bCs/>
    </w:rPr>
  </w:style>
  <w:style w:type="character" w:customStyle="1" w:styleId="CommentSubjectChar">
    <w:name w:val="Comment Subject Char"/>
    <w:basedOn w:val="CommentTextChar"/>
    <w:link w:val="CommentSubject"/>
    <w:uiPriority w:val="99"/>
    <w:semiHidden/>
    <w:rsid w:val="00242E3A"/>
    <w:rPr>
      <w:rFonts w:ascii="Times New Roman" w:eastAsia="Times New Roman" w:hAnsi="Times New Roman" w:cs="Times New Roman"/>
      <w:b/>
      <w:bCs/>
      <w:sz w:val="20"/>
      <w:szCs w:val="20"/>
    </w:rPr>
  </w:style>
  <w:style w:type="paragraph" w:styleId="Revision">
    <w:name w:val="Revision"/>
    <w:hidden/>
    <w:uiPriority w:val="99"/>
    <w:semiHidden/>
    <w:rsid w:val="00EF2F70"/>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EF402F"/>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61D73"/>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5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5FB"/>
    <w:pPr>
      <w:ind w:left="720"/>
      <w:contextualSpacing/>
    </w:pPr>
  </w:style>
  <w:style w:type="paragraph" w:styleId="NormalWeb">
    <w:name w:val="Normal (Web)"/>
    <w:basedOn w:val="Normal"/>
    <w:uiPriority w:val="99"/>
    <w:semiHidden/>
    <w:unhideWhenUsed/>
    <w:rsid w:val="00CC231F"/>
    <w:pPr>
      <w:spacing w:before="100" w:beforeAutospacing="1" w:after="100" w:afterAutospacing="1"/>
    </w:pPr>
  </w:style>
  <w:style w:type="paragraph" w:styleId="EndnoteText">
    <w:name w:val="endnote text"/>
    <w:basedOn w:val="Normal"/>
    <w:link w:val="EndnoteTextChar"/>
    <w:uiPriority w:val="99"/>
    <w:semiHidden/>
    <w:unhideWhenUsed/>
    <w:rsid w:val="00B678FF"/>
    <w:rPr>
      <w:sz w:val="20"/>
      <w:szCs w:val="20"/>
    </w:rPr>
  </w:style>
  <w:style w:type="character" w:customStyle="1" w:styleId="EndnoteTextChar">
    <w:name w:val="Endnote Text Char"/>
    <w:basedOn w:val="DefaultParagraphFont"/>
    <w:link w:val="EndnoteText"/>
    <w:uiPriority w:val="99"/>
    <w:semiHidden/>
    <w:rsid w:val="00B678F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B678FF"/>
    <w:rPr>
      <w:vertAlign w:val="superscript"/>
    </w:rPr>
  </w:style>
  <w:style w:type="paragraph" w:styleId="BalloonText">
    <w:name w:val="Balloon Text"/>
    <w:basedOn w:val="Normal"/>
    <w:link w:val="BalloonTextChar"/>
    <w:uiPriority w:val="99"/>
    <w:semiHidden/>
    <w:unhideWhenUsed/>
    <w:rsid w:val="009F2F31"/>
    <w:rPr>
      <w:rFonts w:ascii="Tahoma" w:hAnsi="Tahoma" w:cs="Tahoma"/>
      <w:sz w:val="16"/>
      <w:szCs w:val="16"/>
    </w:rPr>
  </w:style>
  <w:style w:type="character" w:customStyle="1" w:styleId="BalloonTextChar">
    <w:name w:val="Balloon Text Char"/>
    <w:basedOn w:val="DefaultParagraphFont"/>
    <w:link w:val="BalloonText"/>
    <w:uiPriority w:val="99"/>
    <w:semiHidden/>
    <w:rsid w:val="009F2F31"/>
    <w:rPr>
      <w:rFonts w:ascii="Tahoma" w:eastAsia="Times New Roman" w:hAnsi="Tahoma" w:cs="Tahoma"/>
      <w:sz w:val="16"/>
      <w:szCs w:val="16"/>
    </w:rPr>
  </w:style>
  <w:style w:type="character" w:styleId="Hyperlink">
    <w:name w:val="Hyperlink"/>
    <w:semiHidden/>
    <w:rsid w:val="006E2C7C"/>
    <w:rPr>
      <w:color w:val="0000FF"/>
      <w:u w:val="single"/>
    </w:rPr>
  </w:style>
  <w:style w:type="paragraph" w:customStyle="1" w:styleId="xl25">
    <w:name w:val="xl25"/>
    <w:basedOn w:val="Normal"/>
    <w:rsid w:val="006E2C7C"/>
    <w:pPr>
      <w:spacing w:before="100" w:beforeAutospacing="1" w:after="100" w:afterAutospacing="1"/>
    </w:pPr>
  </w:style>
  <w:style w:type="character" w:styleId="FollowedHyperlink">
    <w:name w:val="FollowedHyperlink"/>
    <w:basedOn w:val="DefaultParagraphFont"/>
    <w:uiPriority w:val="99"/>
    <w:semiHidden/>
    <w:unhideWhenUsed/>
    <w:rsid w:val="006E2C7C"/>
    <w:rPr>
      <w:color w:val="800080" w:themeColor="followedHyperlink"/>
      <w:u w:val="single"/>
    </w:rPr>
  </w:style>
  <w:style w:type="paragraph" w:styleId="BodyText">
    <w:name w:val="Body Text"/>
    <w:basedOn w:val="Normal"/>
    <w:link w:val="BodyTextChar"/>
    <w:semiHidden/>
    <w:rsid w:val="002D62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color w:val="FFCC99"/>
    </w:rPr>
  </w:style>
  <w:style w:type="character" w:customStyle="1" w:styleId="BodyTextChar">
    <w:name w:val="Body Text Char"/>
    <w:basedOn w:val="DefaultParagraphFont"/>
    <w:link w:val="BodyText"/>
    <w:semiHidden/>
    <w:rsid w:val="002D6265"/>
    <w:rPr>
      <w:rFonts w:ascii="Times New Roman" w:eastAsia="Times New Roman" w:hAnsi="Times New Roman" w:cs="Times New Roman"/>
      <w:color w:val="FFCC99"/>
      <w:sz w:val="24"/>
      <w:szCs w:val="24"/>
    </w:rPr>
  </w:style>
  <w:style w:type="paragraph" w:styleId="FootnoteText">
    <w:name w:val="footnote text"/>
    <w:basedOn w:val="Normal"/>
    <w:link w:val="FootnoteTextChar"/>
    <w:uiPriority w:val="99"/>
    <w:semiHidden/>
    <w:unhideWhenUsed/>
    <w:rsid w:val="00957C31"/>
    <w:rPr>
      <w:sz w:val="20"/>
      <w:szCs w:val="20"/>
    </w:rPr>
  </w:style>
  <w:style w:type="character" w:customStyle="1" w:styleId="FootnoteTextChar">
    <w:name w:val="Footnote Text Char"/>
    <w:basedOn w:val="DefaultParagraphFont"/>
    <w:link w:val="FootnoteText"/>
    <w:uiPriority w:val="99"/>
    <w:semiHidden/>
    <w:rsid w:val="00957C3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57C31"/>
    <w:rPr>
      <w:vertAlign w:val="superscript"/>
    </w:rPr>
  </w:style>
  <w:style w:type="character" w:styleId="CommentReference">
    <w:name w:val="annotation reference"/>
    <w:basedOn w:val="DefaultParagraphFont"/>
    <w:uiPriority w:val="99"/>
    <w:semiHidden/>
    <w:unhideWhenUsed/>
    <w:rsid w:val="00242E3A"/>
    <w:rPr>
      <w:sz w:val="16"/>
      <w:szCs w:val="16"/>
    </w:rPr>
  </w:style>
  <w:style w:type="paragraph" w:styleId="CommentText">
    <w:name w:val="annotation text"/>
    <w:basedOn w:val="Normal"/>
    <w:link w:val="CommentTextChar"/>
    <w:uiPriority w:val="99"/>
    <w:semiHidden/>
    <w:unhideWhenUsed/>
    <w:rsid w:val="00242E3A"/>
    <w:rPr>
      <w:sz w:val="20"/>
      <w:szCs w:val="20"/>
    </w:rPr>
  </w:style>
  <w:style w:type="character" w:customStyle="1" w:styleId="CommentTextChar">
    <w:name w:val="Comment Text Char"/>
    <w:basedOn w:val="DefaultParagraphFont"/>
    <w:link w:val="CommentText"/>
    <w:uiPriority w:val="99"/>
    <w:semiHidden/>
    <w:rsid w:val="00242E3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42E3A"/>
    <w:rPr>
      <w:b/>
      <w:bCs/>
    </w:rPr>
  </w:style>
  <w:style w:type="character" w:customStyle="1" w:styleId="CommentSubjectChar">
    <w:name w:val="Comment Subject Char"/>
    <w:basedOn w:val="CommentTextChar"/>
    <w:link w:val="CommentSubject"/>
    <w:uiPriority w:val="99"/>
    <w:semiHidden/>
    <w:rsid w:val="00242E3A"/>
    <w:rPr>
      <w:rFonts w:ascii="Times New Roman" w:eastAsia="Times New Roman" w:hAnsi="Times New Roman" w:cs="Times New Roman"/>
      <w:b/>
      <w:bCs/>
      <w:sz w:val="20"/>
      <w:szCs w:val="20"/>
    </w:rPr>
  </w:style>
  <w:style w:type="paragraph" w:styleId="Revision">
    <w:name w:val="Revision"/>
    <w:hidden/>
    <w:uiPriority w:val="99"/>
    <w:semiHidden/>
    <w:rsid w:val="00EF2F70"/>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EF402F"/>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61D7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804537">
      <w:bodyDiv w:val="1"/>
      <w:marLeft w:val="0"/>
      <w:marRight w:val="0"/>
      <w:marTop w:val="0"/>
      <w:marBottom w:val="0"/>
      <w:divBdr>
        <w:top w:val="none" w:sz="0" w:space="0" w:color="auto"/>
        <w:left w:val="none" w:sz="0" w:space="0" w:color="auto"/>
        <w:bottom w:val="none" w:sz="0" w:space="0" w:color="auto"/>
        <w:right w:val="none" w:sz="0" w:space="0" w:color="auto"/>
      </w:divBdr>
    </w:div>
    <w:div w:id="141925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dc.gov/cance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ancer.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ncer.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bing.com/images/search?q=new+hampshire+state+seal&amp;id=F01E4FE779B9B331A20CDC11278006388A9A0392&amp;FORM=IQFRBA" TargetMode="External"/><Relationship Id="rId14" Type="http://schemas.openxmlformats.org/officeDocument/2006/relationships/hyperlink" Target="http://www.cancer.gov/cancertopics/factsheet/Risk/clus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A0E60-965F-4DA0-A682-D398E8764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3540</Words>
  <Characters>20178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State of New Hampshire</Company>
  <LinksUpToDate>false</LinksUpToDate>
  <CharactersWithSpaces>23671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GM.M.Hosain</dc:creator>
  <cp:lastModifiedBy>GM.M.Hosain</cp:lastModifiedBy>
  <cp:revision>3</cp:revision>
  <cp:lastPrinted>2014-10-22T13:33:00Z</cp:lastPrinted>
  <dcterms:created xsi:type="dcterms:W3CDTF">2014-11-04T20:03:00Z</dcterms:created>
  <dcterms:modified xsi:type="dcterms:W3CDTF">2014-11-04T20:06:00Z</dcterms:modified>
</cp:coreProperties>
</file>